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LAnpG — Anzuwendende Gründungsvorschriften, Kapitalschutz</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Auf den Formwechsel sind die für die neue Rechtsform geltenden Gründungsvorschriften entsprechend anzuwenden, soweit sich aus diesem Gesetz nichts anderes ergibt. Dabei stehen den Gründern die Mitglieder der LPG gleich. Im Falle einer Mehrheitsentscheidung treten an die Stelle der Gründer die Mitglieder, die für den Formwechsel gestimmt haben.</w:t>
      </w:r>
    </w:p>
    <w:p>
      <w:r>
        <w:t xml:space="preserve">(2) Beim Formwechsel in eine Kapitalgesellschaft darf der Nennbetrag des Stammkapitals der Gesellschaft mit beschränkter Haftung oder des Grundkapitals der Aktiengesellschaft das nach Abzug der Schulden verbleibende Vermögen der LPG nicht übersteigen.</w:t>
      </w:r>
    </w:p>
    <w:p>
      <w:r>
        <w:rPr>
          <w:color w:val="555555"/>
          <w:sz w:val="17"/>
        </w:rPr>
        <w:t xml:space="preserve">Zitiervorschlag: § 29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