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LAnpG — Ausschluß der Anfechtung eines Umwandlungsbeschlusses, Verbesserung des Beteiligungsverhältnisses</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Eine Klage gegen die Wirksamkeit des Umwandlungsbeschlusses kann nicht darauf gestützt werden, daß das Umtauschverhältnis der Anteile zu niedrig bemessen ist oder daß die Mitgliedschaftsrechte bei dem neuen Unternehmen kein ausreichender Gegenwert für die Mitgliedschaftsrechte bei der formwechselnden LPG sind.</w:t>
      </w:r>
    </w:p>
    <w:p>
      <w:r>
        <w:t xml:space="preserve">(2) Sind die in dem Umwandlungsbeschluß bestimmten Anteile an dem Unternehmen neuer Rechtsform zu niedrig bemessen oder sind die Mitgliedschaftsrechte bei dem Unternehmen neuer Rechtsform kein ausreichender Gegenwert für die Mitgliedschaftsrechte bei der LPG, so kann jedes Mitglied, dessen Recht, gegen die Wirksamkeit des Umwandlungsbeschlusses Klage zu erheben, nach Absatz 1 ausgeschlossen ist, von dem Unternehmen einen Ausgleich durch bare Zuzahlung verlangen.</w:t>
      </w:r>
    </w:p>
    <w:p>
      <w:r>
        <w:t xml:space="preserve">(3) Die Absätze 1 und 2 sind bei Teilungen und Zusammenschlüssen entsprechend anzuwenden.</w:t>
      </w:r>
    </w:p>
    <w:p>
      <w:r>
        <w:rPr>
          <w:color w:val="555555"/>
          <w:sz w:val="17"/>
        </w:rPr>
        <w:t xml:space="preserve">Zitiervorschlag: § 28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