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LAnpG — Inhalt und Anlagen des Umwandlungsbeschlusses</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In dem Umwandlungsbeschluß müssen mindestens bestimmt werden:</w:t>
      </w:r>
    </w:p>
    <w:p>
      <w:pPr>
        <w:ind w:left="420"/>
      </w:pPr>
      <w:r>
        <w:t xml:space="preserve">1. die Rechtsform, welche die LPG durch den Formwechsel erlangen soll;</w:t>
      </w:r>
    </w:p>
    <w:p>
      <w:pPr>
        <w:ind w:left="420"/>
      </w:pPr>
      <w:r>
        <w:t xml:space="preserve">2. der Name oder die Firma und der Sitz des Unternehmens neuer Rechtsform;</w:t>
      </w:r>
    </w:p>
    <w:p>
      <w:pPr>
        <w:ind w:left="420"/>
      </w:pPr>
      <w:r>
        <w:t xml:space="preserve">3. die Beteiligung der Mitglieder der LPG an dem Unternehmen nach den für die neue Rechtsform geltenden Vorschriften;</w:t>
      </w:r>
    </w:p>
    <w:p>
      <w:pPr>
        <w:ind w:left="420"/>
      </w:pPr>
      <w:r>
        <w:t xml:space="preserve">4. Zahl, Art und Umfang der Anteile oder Mitgliedschaftsrechte, welche die Mitglieder durch den Formwechsel erlangen sollen;</w:t>
      </w:r>
    </w:p>
    <w:p>
      <w:pPr>
        <w:ind w:left="420"/>
      </w:pPr>
      <w:r>
        <w:t xml:space="preserve">5. die Rechte, die einzelnen Mitgliedern sowie den Inhabern besonderer Rechte in dem Unternehmen gewährt werden sollen, oder die Maßnahmen, die für diese Personen vorgesehen sind;</w:t>
      </w:r>
    </w:p>
    <w:p>
      <w:pPr>
        <w:ind w:left="420"/>
      </w:pPr>
      <w:r>
        <w:t xml:space="preserve">6. ein Abfindungsangebot im Sinne des § 36, sofern nicht nach dem Statut der LPG der Umwandlungsbeschluß zu seiner Wirksamkeit der Zustimmung aller Mitglieder bedarf;</w:t>
      </w:r>
    </w:p>
    <w:p>
      <w:pPr>
        <w:ind w:left="420"/>
      </w:pPr>
      <w:r>
        <w:t xml:space="preserve">7. beim Formwechsel in eine Kommanditgesellschaft die Angabe der Kommanditisten sowie des Betrages der Einlage eines jeden von ihnen.</w:t>
      </w:r>
    </w:p>
    <w:p>
      <w:r>
        <w:t xml:space="preserve">(2) Dem Umwandlungsbeschluß sind als Anlage eine Abschlußbilanz der LPG sowie die in § 5 Abs. 3 bezeichneten Urkunden beizufügen. Für die Abschlußbilanz gelten die Vorschriften über die Jahresbilanz und deren Prüfung entsprechend. Sie braucht nicht bekanntgemacht zu werden.</w:t>
      </w:r>
    </w:p>
    <w:p>
      <w:r>
        <w:t xml:space="preserve">(3) Der Beschluß zur Umwandlung in eine eingetragene Genossenschaft muß die Beteiligung jedes Genossen mit mindestens einem Geschäftsanteil vorsehen. In dem Beschluß kann auch bestimmt werden, daß jeder Genosse bei der Genossenschaft mit mindestens einem und im übrigen mit so vielen Geschäftsanteilen, wie sie durch Anrechnung seines Geschäftsguthabens bei dieser Genossenschaft als voll eingezahlt anzusehen sind, beteiligt wird.</w:t>
      </w:r>
    </w:p>
    <w:p>
      <w:r>
        <w:rPr>
          <w:color w:val="555555"/>
          <w:sz w:val="17"/>
        </w:rPr>
        <w:t xml:space="preserve">Zitiervorschlag: § 26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