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LAnpG — Zulässigkeit des Formwechsels</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Eine LPG kann durch Formwechsel in eine eingetragene Genossenschaft, eine Personengesellschaft (Gesellschaft des bürgerlichen Rechts, offene Handelsgesellschaft, Kommanditgesellschaft) oder eine Kapitalgesellschaft (Gesellschaft mit beschränkter Haftung, Aktiengesellschaft) umgewandelt werden.</w:t>
      </w:r>
    </w:p>
    <w:p>
      <w:r>
        <w:t xml:space="preserve">(2) Der Formwechsel ist nur zulässig, wenn auf jedes Mitglied der LPG, das an dem Unternehmen neuer Rechtsform als beschränkt haftender Gesellschafter oder als Aktionär beteiligt wird, mindestens ein Teilrecht im Nennbetrag von fünf Deutsche Mark entfällt.</w:t>
      </w:r>
    </w:p>
    <w:p>
      <w:r>
        <w:rPr>
          <w:color w:val="555555"/>
          <w:sz w:val="17"/>
        </w:rPr>
        <w:t xml:space="preserve">Zitiervorschlag: § 23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