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LAnpG — Wirkungen der Eintragung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 des Zusammenschlusses in das Register hat folgende Wirkungen:</w:t>
      </w:r>
    </w:p>
    <w:p>
      <w:pPr>
        <w:ind w:left="420"/>
      </w:pPr>
      <w:r>
        <w:t xml:space="preserve">1. Das Vermögen jeder LPG geht einschließlich der Verbindlichkeiten auf die übernehmende LPG über.</w:t>
      </w:r>
    </w:p>
    <w:p>
      <w:pPr>
        <w:ind w:left="420"/>
      </w:pPr>
      <w:r>
        <w:t xml:space="preserve">2. Die übertragende(n) LPG erlöschen (erlischt). Einer besonderen Löschung bedarf es nicht.</w:t>
      </w:r>
    </w:p>
    <w:p>
      <w:pPr>
        <w:ind w:left="420"/>
      </w:pPr>
      <w:r>
        <w:t xml:space="preserve">3. Die Mitglieder der LPG werden Mitglieder der übernehmenden LPG. Rechte Dritter an den Mitgliedschaftsrechten der LPG bestehen an den an ihre Stelle tretenden Mitgliedschaftsrechten der übernehmenden LPG weiter.</w:t>
      </w:r>
    </w:p>
    <w:p>
      <w:r>
        <w:rPr>
          <w:color w:val="555555"/>
          <w:sz w:val="17"/>
        </w:rPr>
        <w:t xml:space="preserve">Zitiervorschlag: § 20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