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LAnpG — Gleichheit der Eigentumsformen</w:t>
      </w:r>
    </w:p>
    <w:p>
      <w:r>
        <w:rPr>
          <w:color w:val="555555"/>
          <w:sz w:val="18"/>
        </w:rPr>
        <w:t xml:space="preserve">Landwirtschaftsanpassungsgesetz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Alle Eigentums- und Wirtschaftsformen, die bäuerlichen Familienwirtschaften und freiwillig von den Bauern gebildete Genossenschaften sowie andere landwirtschaftliche Unternehmen erhalten im Wettbewerb Chancengleichheit.</w:t>
      </w:r>
    </w:p>
    <w:p>
      <w:r>
        <w:rPr>
          <w:color w:val="555555"/>
          <w:sz w:val="17"/>
        </w:rPr>
        <w:t xml:space="preserve">Zitiervorschlag: § 2 LAnpG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https://recht.nulegal.eu/gesetze/LAnpG/2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