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LAnpG — Gläubigerschutz</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(1) Vor der Entscheidung über die Aufteilung der Kredite auf die neuen Unternehmen ist das zuständige Kreditinstitut zur Stellungnahme aufzufordern. Werden Einwände des Kreditinstituts nicht beachtet, kann dieses eine Entscheidung durch das Gericht herbeiführen lassen. Bis zur endgültigen Entscheidung haften die an der Teilung beteiligten Unternehmen als Gesamtschuldner.</w:t>
      </w:r>
    </w:p>
    <w:p>
      <w:r>
        <w:t xml:space="preserve">(2) Die an der Teilung beteiligten Unternehmen haften auch als Gesamtschuldner, wenn ein anderer Gläubiger als die Bank von dem neuen Unternehmen, dem die Verbindlichkeit zugewiesen worden ist, keine Befriedigung erlangt.</w:t>
      </w:r>
    </w:p>
    <w:p>
      <w:r>
        <w:rPr>
          <w:color w:val="555555"/>
          <w:sz w:val="17"/>
        </w:rPr>
        <w:t xml:space="preserve">Zitiervorschlag: § 12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