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LAZAV (Brandenburg) — Veröffentlichung der Ergebnisse der Berechnung</w:t>
      </w:r>
    </w:p>
    <w:p>
      <w:r>
        <w:rPr>
          <w:color w:val="555555"/>
          <w:sz w:val="18"/>
        </w:rPr>
        <w:t xml:space="preserve">Landeszuschussanpassungsverordnung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für Jugend zuständige Mitglied der Landesregierung veröffentlicht im Amtsblatt des Ministeriums für Bildung, Jugend und Sport</w:t>
      </w:r>
    </w:p>
    <w:p>
      <w:r>
        <w:t xml:space="preserve">für jede Zuschussperiode die Anpassungsfaktoren gemäß den §§ 2, 3 und 4 und die Höhe der Landeszuschüsse und</w:t>
      </w:r>
    </w:p>
    <w:p>
      <w:r>
        <w:t xml:space="preserve">für jedes Jahr die Verteilung des Zuschusses an die Landkreise gemäß § 16 Absatz 6 Satz 4 des Kindertagesstättengesetzes.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LAZAV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https://recht.nulegal.eu/gesetze/LAZAV/5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