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LAZAV (Brandenburg) — Grundsätze der Berechnung</w:t>
      </w:r>
    </w:p>
    <w:p>
      <w:r>
        <w:rPr>
          <w:color w:val="555555"/>
          <w:sz w:val="18"/>
        </w:rPr>
        <w:t xml:space="preserve">Landeszuschussanpassungsverordnung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Landeszuschüsse gemäß § 16 Absatz 6 Satz 2 und 4 des Kindertagesstättengesetzes für eine zweijährige Zuschussperiode – beginnend mit der Zuschussperiode 2015 und 2016 – werden ermittelt, indem die Landeszuschüsse der vorangegangenen zweijährigen Zuschussperiode mit den Anpassungsfaktoren multipliziert werden, die sich aus den §§ 2, 3 und 4 ergeben. Ausgangspunkt für die Anpassungen sind die Zuschüsse des Landes im Jahr 2014 in Höhe von 174 165 000 Euro zur Finanzierung der Kindertagesbetreuung und die zusätzlichen zweckgebundenen 5 243 000 Euro zum Ausgleich der Aufgaben gemäß § 1 Absatz 2 Satz 3 und § 3 Absatz 1 Satz 6 und 7 des Kindertagesstättengesetzes.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LAZAV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https://recht.nulegal.eu/gesetze/LAZAV/1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