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LAVEEG (Nordrhein-Westfalen) — Vermögensgegenstände</w:t>
      </w:r>
    </w:p>
    <w:p>
      <w:r>
        <w:rPr>
          <w:color w:val="555555"/>
          <w:sz w:val="18"/>
        </w:rPr>
        <w:t xml:space="preserve">LAVE-Errichtungsgesetz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Inkrafttreten dieses Gesetzes gehen die Vermögensgegenstände nach Maßgabe der Aufgabenzuordnung und der haushaltsrechtlichen Vorschriften, namentlich § 61 der Landeshaushaltsordnung, vom bisherigen Landesamt für Natur, Umwelt und Verbraucherschutz auf das Landesamt über.</w:t>
      </w:r>
    </w:p>
    <w:p>
      <w:r>
        <w:t xml:space="preserve">Näheres regelt eine zwischen dem Ministerium für Landwirtschaft und Verbraucherschutz und dem Ministerium für Umwelt, Naturschutz und Verkehr abzuschließende Verwaltungsvereinbarung mit Zustimmung des für Finanzen zuständigen Ministeriums.</w:t>
      </w:r>
    </w:p>
    <w:p>
      <w:r>
        <w:rPr>
          <w:color w:val="555555"/>
          <w:sz w:val="17"/>
        </w:rPr>
        <w:t xml:space="preserve">Zitiervorschlag: § 8 LAVEEG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https://recht.nulegal.eu/gesetze/LAVEEG/8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