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LAVEEG (Nordrhein-Westfalen) — Übergang von Rechten und Pflichten</w:t>
      </w:r>
    </w:p>
    <w:p>
      <w:r>
        <w:rPr>
          <w:color w:val="555555"/>
          <w:sz w:val="18"/>
        </w:rPr>
        <w:t xml:space="preserve">LAVE-Errichtungsgesetz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 Inkrafttreten dieses Gesetzes übernimmt das Landesamt im Rahmen der übertragenen Aufgaben nach § 2 die Rechtsnachfolge für das bisherige Landesamt für Natur, Umwelt und Verbraucherschutz.</w:t>
      </w:r>
    </w:p>
    <w:p>
      <w:r>
        <w:rPr>
          <w:color w:val="555555"/>
          <w:sz w:val="17"/>
        </w:rPr>
        <w:t xml:space="preserve">Zitiervorschlag: § 7 LAVEEG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https://recht.nulegal.eu/gesetze/LAVEEG/7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