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LAVEEG (Nordrhein-Westfalen) — Personal und Mittel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Inkrafttreten dieses Gesetzes sind die Beschäftigten der in der Anlage zu diesem Gesetz aufgeführten Organisationseinheiten des Landesamtes für Natur, Umwelt und Verbraucherschutz auf das Landesamt übergeleitet.</w:t>
      </w:r>
    </w:p>
    <w:p>
      <w:r>
        <w:t xml:space="preserve">(2) Die Versetzung anderer Beschäftigter erfolgt nach den beamten- und tarifrechtlichen Regelungen.</w:t>
      </w:r>
    </w:p>
    <w:p>
      <w:r>
        <w:t xml:space="preserve">(3) Die Umsetzung der Planstellen, Stellen und Mittel erfolgt nach den allgemeinen haushaltsrechtlichen Vorschriften gemäß § 50 Absatz 1 der Landeshaushaltsordnung in der Fassung der Bekanntmachung vom 26. April 1999 (GV. NRW. S. 158), die zuletzt durch Artikel 2 des Gesetzes vom 11. Februar 2025 (GV. NRW. S. 214) geändert worden ist.</w:t>
      </w:r>
    </w:p>
    <w:p>
      <w:r>
        <w:rPr>
          <w:color w:val="555555"/>
          <w:sz w:val="17"/>
        </w:rPr>
        <w:t xml:space="preserve">Zitiervorschlag: § 6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