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LAVEEG (Nordrhein-Westfalen) — Organisation</w:t>
      </w:r>
    </w:p>
    <w:p>
      <w:r>
        <w:rPr>
          <w:color w:val="555555"/>
          <w:sz w:val="18"/>
        </w:rPr>
        <w:t xml:space="preserve">LAVE-Errichtungsgesetz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Landesamt und das Landesamt für Natur, Umwelt und Klima sollen in den zentralen Bereichen ihrer Organisation kooperieren und, soweit möglich und sachgerecht, bestehende Strukturen gemeinsam nutzen. Näheres wird durch Verwaltungsvereinbarung geregelt.</w:t>
      </w:r>
    </w:p>
    <w:p>
      <w:r>
        <w:t xml:space="preserve">(2) Das Landesamt legt in einem Organisationsplan die Einzelheiten der Organisation und in einem Geschäftsverteilungsplan die Zuständigkeiten für die jeweiligen Aufgaben nach § 2 fest. Organisations- und Geschäftsverteilungsplan bedürfen der Zustimmung der Aufsichtsbehörde.</w:t>
      </w:r>
    </w:p>
    <w:p>
      <w:r>
        <w:rPr>
          <w:color w:val="555555"/>
          <w:sz w:val="17"/>
        </w:rPr>
        <w:t xml:space="preserve">Zitiervorschlag: § 3 LAVEEG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https://recht.nulegal.eu/gesetze/LAVEEG/3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