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LAV-NRW - (Nordrhein-Westfalen) — In-Kraft-Treten, Übergangsregelungen, Berichtspflicht</w:t>
      </w:r>
    </w:p>
    <w:p>
      <w:r>
        <w:rPr>
          <w:color w:val="555555"/>
          <w:sz w:val="18"/>
        </w:rPr>
        <w:t xml:space="preserve">Landesarzneimittelverordnung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Verordnung tritt am Tage nach ihrer Verkündung in Kraft. Das zuständige Ministerium berichtet der Landesregierung bis zum 31. Dezember 2009 über die Auswirkungen der Verordnung.</w:t>
      </w:r>
    </w:p>
    <w:p>
      <w:r>
        <w:t xml:space="preserve">(2) Personen, die bei In-Kraft-Treten dieserVerordnung die Tätigkeiten ausüben, haben diese spätestens einen Monat nach In-Kraft-Treten dieser Verordnung anzuzeigen.</w:t>
      </w:r>
    </w:p>
    <w:p>
      <w:r>
        <w:t xml:space="preserve">Die Ministerin</w:t>
      </w:r>
    </w:p>
    <w:p>
      <w:r>
        <w:t xml:space="preserve">für Frauen, Jugend, Familie und Gesundheit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121 des Fünften Befristungsgesetzes vom 5.4.2005 (GV. NRW. S. 351))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8 LAV-NRW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https://recht.nulegal.eu/gesetze/LAV-NRW%20-/8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