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LAV-NRW - (Nordrhein-Westfalen) — Ordnungswidrigkeiten</w:t>
      </w:r>
    </w:p>
    <w:p>
      <w:r>
        <w:rPr>
          <w:color w:val="555555"/>
          <w:sz w:val="18"/>
        </w:rPr>
        <w:t xml:space="preserve">Landesarzneimittelverordnung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Ordnungswidrig im Sinne des § 73 Abs. 1 Nr. 4 des Infektionsschutzgesetzes handelt, wer vorsätzlich oder fahrlässig</w:t>
      </w:r>
    </w:p>
    <w:p>
      <w:r>
        <w:t xml:space="preserve">1. entgegen § 4 oder § 8 Abs. 2 das Herstellen und Anwenden nicht anzeigt,</w:t>
      </w:r>
    </w:p>
    <w:p>
      <w:r>
        <w:t xml:space="preserve">2. seinen Unterrichtungspflichten nach § 6 Abs. 1 nicht, nicht richtig, nicht vollständig oder nicht rechtzeitig nachkommt.</w:t>
      </w:r>
    </w:p>
    <w:p>
      <w:r>
        <w:rPr>
          <w:color w:val="555555"/>
          <w:sz w:val="17"/>
        </w:rPr>
        <w:t xml:space="preserve">Zitiervorschlag: § 7 LAV-NRW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https://recht.nulegal.eu/gesetze/LAV-NRW%20-/7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