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LASaarEinfDV — Inkrafttreten</w:t>
      </w:r>
    </w:p>
    <w:p>
      <w:r>
        <w:rPr>
          <w:color w:val="555555"/>
          <w:sz w:val="18"/>
        </w:rPr>
        <w:t xml:space="preserve">Verordnung zur Einführung von Rechtsverordnungen zum Lastenausgleichsrecht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13 LASaarEinfDV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https://recht.nulegal.eu/gesetze/LASaarEinfDV/13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