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LASaarEG — Schadensberechnung bei Sparerschäden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Sparerschaden im Sinne des § 15 des Lastenausgleichsgesetzes ist auch dann anzuerkennen, wenn eine Sparanlage im Saarland</w:t>
      </w:r>
    </w:p>
    <w:p>
      <w:pPr>
        <w:ind w:left="420"/>
      </w:pPr>
      <w:r>
        <w:t xml:space="preserve">1. von Saarmark auf Franken im Verhältnis von einer Saarmark zu zwanzig Franken umgestellt worden ist oder</w:t>
      </w:r>
    </w:p>
    <w:p>
      <w:pPr>
        <w:ind w:left="420"/>
      </w:pPr>
      <w:r>
        <w:t xml:space="preserve">2. von Reichsmark auf Deutsche Mark umgestellt wird.</w:t>
      </w:r>
    </w:p>
    <w:p>
      <w:r>
        <w:t xml:space="preserve">(2) Bei der Anwendung des § 240 Abs. 1 des Lastenausgleichsgesetzes sind Sparerschäden im Sinne des Absatzes 1 Nr. 1 mit zwei Dritteln des Saarmarknennbetrages des durch die Umstellung betroffenen Anspruchs, Sparerschäden an Sparanlagen im Sinne des Absatzes 1 Nr. 2 mit dem vollen Reichsmarknennbetrag anzusetzen.</w:t>
      </w:r>
    </w:p>
    <w:p>
      <w:r>
        <w:rPr>
          <w:color w:val="555555"/>
          <w:sz w:val="17"/>
        </w:rPr>
        <w:t xml:space="preserve">Zitiervorschlag: § 9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