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LASaarEG — Überleitung nach saarländischem Recht begründeter Verpflichtungen auf den Ausgleichsfonds</w:t>
      </w:r>
    </w:p>
    <w:p>
      <w:r>
        <w:rPr>
          <w:color w:val="555555"/>
          <w:sz w:val="18"/>
        </w:rPr>
        <w:t xml:space="preserve">Gesetz zur Einführung von Vorschriften des Lastenausgleichsrechts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Ansprüche auf Unterhaltshilfe nach dem saarländischen Unterhaltshilfe-Gesetz werden vom 1. Januar 1960 ab aus dem Ausgleichsfonds erfüllt.</w:t>
      </w:r>
    </w:p>
    <w:p>
      <w:r>
        <w:t xml:space="preserve">(2) Die nach § 30 Abs. 2 abzuwickelnden Leistungen für Hausratverluste werden vom 1. Januar 1960 ab aus dem Ausgleichsfonds insoweit erfüllt, als sie auf saarländischen Rechts- oder Verwaltungsvorschriften beruhen, die vor dem 5. Juli 1959 ergangen sind. Das gleiche gilt für</w:t>
      </w:r>
    </w:p>
    <w:p>
      <w:pPr>
        <w:ind w:left="420"/>
      </w:pPr>
      <w:r>
        <w:t xml:space="preserve">1. bis zum 31. Dezember 1959 durch Bescheid begründete Ansprüche auf Darlehen im Sinne des § 13,</w:t>
      </w:r>
    </w:p>
    <w:p>
      <w:pPr>
        <w:ind w:left="420"/>
      </w:pPr>
      <w:r>
        <w:t xml:space="preserve">2. bis zum Inkrafttreten dieses Gesetzes durch Bescheid begründete Ansprüche auf andere Leistungen aus Mitteln der Gemeinschaftshilfeabgabe; bei Bescheiden, die nach dem 31. Dezember 1959 ergangen sind, gilt dies jedoch nur insoweit, als sie den Leistungen des Lastenausgleichsgesetzes entsprechen.</w:t>
      </w:r>
    </w:p>
    <w:p>
      <w:r>
        <w:t xml:space="preserve">Die Abwicklung der hiernach nicht vom Ausgleichsfonds zu übernehmenden Leistungen bestimmt das Landesrecht.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32 LASaarEG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