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LASaarEG — Überleitung saarländischer Mittel auf den Ausgleichsfonds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Mittel, die dem Saarland aus der Gemeinschaftshilfeabgabe zufließen, bis zum 31. Dezember 1959 noch nicht für Zwecke der Kriegsschädenregelung ausgegeben waren, sind sie dem Ausgleichsfonds zuzuführen; dies gilt auch für die Beträge, die aus der Gemeinschaftshilfeabgabe nach diesem Zeitpunkt aufgekommen sind oder aufkommen.</w:t>
      </w:r>
    </w:p>
    <w:p>
      <w:r>
        <w:t xml:space="preserve">(2) Die Ansprüche aus den nach saarländischen Rechts- oder Verwaltungsvorschriften gewährten Darlehen im Sinne des § 13 sowie Rückforderungsansprüche aus Leistungen, die aus Mitteln der Gemeinschaftshilfeabgabe gewährt worden sind, gehen mit Wirkung vom 1. Januar 1960 ab auf den Ausgleichsfonds über.</w:t>
      </w:r>
    </w:p>
    <w:p>
      <w:r>
        <w:rPr>
          <w:color w:val="555555"/>
          <w:sz w:val="17"/>
        </w:rPr>
        <w:t xml:space="preserve">Zitiervorschlag: § 31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