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LASaarEG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Altsparergesetzes gelten im Saarland, soweit sie sich beziehen auf</w:t>
      </w:r>
    </w:p>
    <w:p>
      <w:pPr>
        <w:ind w:left="420"/>
      </w:pPr>
      <w:r>
        <w:t xml:space="preserve">1. nach dem Gesetz über die Umwandlung von Reichsmarkguthaben im Saarland vom 15. April 1961 (BGBl. I S. 441) in Deutsche Mark umgewandelte Spareinlagen im Sinne des § 2 Abs. 1 Nr. 1 des Altsparergesetzes und nach § 2a des Altsparergesetzes gleichgestellte Geldeinlagen,</w:t>
      </w:r>
    </w:p>
    <w:p>
      <w:pPr>
        <w:ind w:left="420"/>
      </w:pPr>
      <w:r>
        <w:t xml:space="preserve">2. ablösbare Kapitalansprüche im Sinne des § 2b Abs. 1 Nr. 1 des Altsparergesetzes, soweit Kreditinstitute im Saarland als Anmeldestellen im Sinne des § 42 Abs. 1 des Allgemeinen Kriegsfolgengesetzes tätig werden.</w:t>
      </w:r>
    </w:p>
    <w:p>
      <w:r>
        <w:t xml:space="preserve">Im Falle des § 2b Abs. 2 Satz 2 des Altsparergesetzes gelten dessen Vorschriften im Saarland auch dann, wenn Kreditinstitute im Saarland die ablösbaren Kapitalansprüche am 20. Juni 1948 verwahrt oder verwaltet haben.</w:t>
      </w:r>
    </w:p>
    <w:p>
      <w:r>
        <w:rPr>
          <w:color w:val="555555"/>
          <w:sz w:val="17"/>
        </w:rPr>
        <w:t xml:space="preserve">Zitiervorschlag: § 26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