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LASaarEG — Hausratentschädigung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Anwendung des § 296 des Lastenausgleichsgesetzes sind auch die Vorauszahlungen zu berücksichtigen, die auf Grund saarländischer Rechts- oder Verwaltungsvorschriften gewährt worden sind; im Falle des § 7 Nr. 3 bleiben Vorauszahlungen an solche Erben außer Betracht, die nach saarländischen Rechts- oder Verwaltungsvorschriften zum Empfang von Vorauszahlungen für Hausratschäden berechtigt waren.</w:t>
      </w:r>
    </w:p>
    <w:p>
      <w:r>
        <w:t xml:space="preserve">(2) Verluste an Hausrat, die nach § 7 nicht festgestellt werden, sind durch die nach saarländischen Rechts- oder Verwaltungsvorschriften für Hausratverluste gewährten Leistungen abgegolten.</w:t>
      </w:r>
    </w:p>
    <w:p>
      <w:r>
        <w:rPr>
          <w:color w:val="555555"/>
          <w:sz w:val="17"/>
        </w:rPr>
        <w:t xml:space="preserve">Zitiervorschlag: § 18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