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LASaarEG — Anrechnung saarländischer Vorauszahlungen auf die Hauptentschädigung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Anspruch auf Hauptentschädigung (§ 251 Abs. 1 des Lastenausgleichsgesetzes) sind die Vorauszahlungen anzurechnen, die auf Grund saarländischer Rechts- und Verwaltungsvorschriften für Schäden im Sinne des Feststellungsgesetzes gewährt worden sind oder werden. Das gilt nicht für Vorauszahlungen für Hausratverluste.</w:t>
      </w:r>
    </w:p>
    <w:p>
      <w:r>
        <w:t xml:space="preserve">(2) Die Anrechnung von Vorauszahlungen auf den Anspruch auf Hauptentschädigung beim Zusammentreffen mit Unterhaltshilfe nach dem saarländischen Unterhaltshilfe-Gesetz, Kriegsschadenrente oder Darlehen im Sinne des § 13 oder Aufbaudarlehen nach dem Lastenausgleichsgesetz sowie in Erbfällen wird durch Rechtsverordnung geregelt; dabei gilt folgendes:</w:t>
      </w:r>
    </w:p>
    <w:p>
      <w:pPr>
        <w:ind w:left="420"/>
      </w:pPr>
      <w:r>
        <w:t xml:space="preserve">1. Sind Vorauszahlungen vor oder während der Gewährung von Unterhaltshilfe nach dem saarländischen Unterhaltshilfe-Gesetz gewährt worden, sind sie bei der Überleitung nach § 27 nach den Vorschriften über die Mindesterfüllungsbeträge (§ 278a Abs. 4 Satz 1 des Lastenausgleichsgesetzes) zu behandeln; für die Gewährung einer höheren Unterhaltshilfe nach dem Lastenausgleichsgesetz und von Entschädigungsrente neben Unterhaltshilfe sind § 278a Abs. 5 und § 283a Abs. 1 Nr. 4 des Lastenausgleichsgesetzes entsprechend anzuwenden. Ist Unterhaltshilfe nach dem saarländischen Unterhaltshilfe-Gesetz nicht gewährt worden, gelten Vorauszahlungen bei späterer Zuerkennung von Kriegsschadenrente nach dem Lastenausgleichsgesetz als teilweise Erfüllung des Anspruchs auf Hauptentschädigung.</w:t>
      </w:r>
    </w:p>
    <w:p>
      <w:pPr>
        <w:ind w:left="420"/>
      </w:pPr>
      <w:r>
        <w:t xml:space="preserve">2. Sind Vorauszahlungen nach einem Darlehen im Sinne des § 13 oder einem Aufbaudarlehen nach dem Lastenausgleichsgesetz gewährt worden, ist die Anrechnung des Darlehens so zu regeln, daß die volle Anrechnung der Vorauszahlungen gewährleistet ist.</w:t>
      </w:r>
    </w:p>
    <w:p>
      <w:pPr>
        <w:ind w:left="420"/>
      </w:pPr>
      <w:r>
        <w:t xml:space="preserve">3. In Erbfällen kann der Grundsatz des § 18 Abs. 1 zweiter Halbsatz angewandt und bestimmt werden, daß Vorauszahlungen auch auf mehrere Hauptentschädigungsansprüche eines Berechtigten aus eigenen Schäden oder Schäden von Erblassern anzurechnen sind.</w:t>
      </w:r>
    </w:p>
    <w:p>
      <w:r>
        <w:rPr>
          <w:color w:val="555555"/>
          <w:sz w:val="17"/>
        </w:rPr>
        <w:t xml:space="preserve">Zitiervorschlag: § 12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