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LASaarEG — Frühere Feststellungen</w:t>
      </w:r>
    </w:p>
    <w:p>
      <w:r>
        <w:rPr>
          <w:color w:val="555555"/>
          <w:sz w:val="18"/>
        </w:rPr>
        <w:t xml:space="preserve">Gesetz zur Einführung von Vorschriften des Lastenausgleichsrechts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42 des Feststellungsgesetzes findet auch auf die Feststellungen Anwendung, die auf Grund saarländischer Rechts- oder Verwaltungsvorschriften getroffen worden sind.</w:t>
      </w:r>
    </w:p>
    <w:p>
      <w:r>
        <w:rPr>
          <w:color w:val="555555"/>
          <w:sz w:val="17"/>
        </w:rPr>
        <w:t xml:space="preserve">Zitiervorschlag: § 10 LASaarEG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https://recht.nulegal.eu/gesetze/LASaarEG/10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