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LASaarDV 2 — Anrechnung von saarländischen Vorauszahlungen an Erben</w:t>
      </w:r>
    </w:p>
    <w:p>
      <w:r>
        <w:rPr>
          <w:color w:val="555555"/>
          <w:sz w:val="18"/>
        </w:rPr>
        <w:t xml:space="preserve">Zweite Verordnung zur Durchführung des Gesetzes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Saarländische Vorauszahlungen, die an einen Erben für Schäden des verstorbenen unmittelbar Geschädigten geleistet worden sind, werden angerechnet,</w:t>
      </w:r>
    </w:p>
    <w:p>
      <w:pPr>
        <w:ind w:left="420"/>
      </w:pPr>
      <w:r>
        <w:t xml:space="preserve">1. wenn der Erbfall vor dem 1. April 1952 eingetreten ist, vorbehaltlich des § 9, auf den Anspruch auf Hauptentschädigung, der in der Person des Erben für Schäden des unmittelbar Geschädigten entstanden ist,</w:t>
      </w:r>
    </w:p>
    <w:p>
      <w:pPr>
        <w:ind w:left="420"/>
      </w:pPr>
      <w:r>
        <w:t xml:space="preserve">2. wenn der Erbfall nach dem 31. März 1952 eingetreten ist, auf den ererbten Anteil des auf Schäden des unmittelbar Geschädigten beruhenden Anspruchs auf Hauptentschädigung.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8 LASaarDV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https://recht.nulegal.eu/gesetze/LASaarDV%202/8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