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LASaarDV 2 — Gewährung des Mindesterfüllungsbetrags</w:t>
      </w:r>
    </w:p>
    <w:p>
      <w:r>
        <w:rPr>
          <w:color w:val="555555"/>
          <w:sz w:val="18"/>
        </w:rPr>
        <w:t xml:space="preserve">Zweite Verordnung zur Durchführung des Gesetzes zur Einführung von Vorschriften des Lastenausgleichsrechts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Sind saarländische Vorauszahlungen gewährt worden, wird der Mindesterfüllungsbetrag (§ 278a Abs. 4, § 283a Abs. 1 Nr. 3 LAG) nur gewährt, soweit er die Vorauszahlungen übersteigt.</w:t>
      </w:r>
    </w:p>
    <w:p>
      <w:r>
        <w:rPr>
          <w:color w:val="555555"/>
          <w:sz w:val="17"/>
        </w:rPr>
        <w:t xml:space="preserve">Zitiervorschlag: § 3 LASaarDV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https://recht.nulegal.eu/gesetze/LASaarDV%202/3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