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LASaarDV 1 — Anwendung im Land Berlin</w:t>
      </w:r>
    </w:p>
    <w:p>
      <w:r>
        <w:rPr>
          <w:color w:val="555555"/>
          <w:sz w:val="18"/>
        </w:rPr>
        <w:t xml:space="preserve">Erste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(BGBl. I S. 1) in Verbindung mit § 39 des Gesetzes zur Einführung von Vorschriften des Lastenausgleichsrechts im Saarland auch im Land Berlin.</w:t>
      </w:r>
    </w:p>
    <w:p>
      <w:r>
        <w:rPr>
          <w:color w:val="555555"/>
          <w:sz w:val="17"/>
        </w:rPr>
        <w:t xml:space="preserve">Zitiervorschlag: § 5 LASaarDV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