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LASaarDV 1 — Berechnung des Sonderwerts</w:t>
      </w:r>
    </w:p>
    <w:p>
      <w:r>
        <w:rPr>
          <w:color w:val="555555"/>
          <w:sz w:val="18"/>
        </w:rPr>
        <w:t xml:space="preserve">Erste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Sonderwert wird berechnet</w:t>
      </w:r>
    </w:p>
    <w:p>
      <w:pPr>
        <w:ind w:left="420"/>
      </w:pPr>
      <w:r>
        <w:t xml:space="preserve">1. bei land- und forstwirtschaftlichen Betrieben aus der Zusammenfassung der Wertanteile für den Grund und Boden, für die Gebäude und für die anderen Betriebsbestandteile,</w:t>
      </w:r>
    </w:p>
    <w:p>
      <w:pPr>
        <w:ind w:left="420"/>
      </w:pPr>
      <w:r>
        <w:t xml:space="preserve">2. bei den bebauten Grundstücken aus der Zusammenfassung der Wertanteile für den Grund und Boden und für die Gebäude.</w:t>
      </w:r>
    </w:p>
    <w:p>
      <w:r>
        <w:t xml:space="preserve">(2) Für die Bemessung der Wertanteile ist maßgebend</w:t>
      </w:r>
    </w:p>
    <w:p>
      <w:pPr>
        <w:ind w:left="420"/>
      </w:pPr>
      <w:r>
        <w:t xml:space="preserve">1. bei land- und forstwirtschaftlichen Betrieben die Anlage A,</w:t>
      </w:r>
    </w:p>
    <w:p>
      <w:pPr>
        <w:ind w:left="420"/>
      </w:pPr>
      <w:r>
        <w:t xml:space="preserve">2. bei den bebauten Grundstücken die Anlage B.</w:t>
      </w:r>
    </w:p>
    <w:p>
      <w:r>
        <w:t xml:space="preserve">Die in den Anlagen A und B enthaltenen Hundertsätze sind auf den vor Eintritt des Kriegssachschadens geltenden Einheitswert anzuwenden. Bei Anwendung der Anlage B sind die Hundertsätze für den Wertanteil der Gebäude zu ermitteln, indem von der Zahl Hundert die Hundertsätze der Wertanteile für den Grund und Boden abgezogen werden.</w:t>
      </w:r>
    </w:p>
    <w:p>
      <w:r>
        <w:t xml:space="preserve">(3) Für die Anwendung der Anlage B sind maßgebend</w:t>
      </w:r>
    </w:p>
    <w:p>
      <w:pPr>
        <w:ind w:left="420"/>
      </w:pPr>
      <w:r>
        <w:t xml:space="preserve">1. als Bewertungsbezirk die für die Durchführung der Einheitsbewertung auf den 1. Januar 1935 oder 1. Januar 1936 als Bewertungsbezirke abgegrenzten Gebietsbereiche,</w:t>
      </w:r>
    </w:p>
    <w:p>
      <w:pPr>
        <w:ind w:left="420"/>
      </w:pPr>
      <w:r>
        <w:t xml:space="preserve">2. als Hauptgeschäftsstraßen und Geschäftsstraßen die in Anlage C aufgeführten Straßen und Plätze mit der für sie jeweils angegebenen maßgebenden Anzahl der Gebäudegeschosse (§ 3).</w:t>
      </w:r>
    </w:p>
    <w:p>
      <w:r>
        <w:t xml:space="preserve">(4) Für die Berücksichtigung des Umfangs der mit den Wertanteilen zu erfassenden Wirtschaftsgüter sind die Verhältnisse am 20. November 1947 maßgebend. Für die Zerlegung der Grundstücksfläche bei bebauten Grundstücken ist § 3 zu beachten.</w:t>
      </w:r>
    </w:p>
    <w:p>
      <w:r>
        <w:rPr>
          <w:color w:val="555555"/>
          <w:sz w:val="17"/>
        </w:rPr>
        <w:t xml:space="preserve">Zitiervorschlag: § 2 LASaarDV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