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LAPV (Brandenburg) — Zulassung</w:t>
      </w:r>
    </w:p>
    <w:p>
      <w:r>
        <w:rPr>
          <w:color w:val="555555"/>
          <w:sz w:val="18"/>
        </w:rPr>
        <w:t xml:space="preserve">Lehrkräfteausbildungs-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das Zulassungsverfahren gelten die in der Ordnung für den Vorbereitungsdienst zu den Terminen und Fristen sowie den Zulassungsantrag und die Auswahl erlassenen Regelungen.</w:t>
      </w:r>
    </w:p>
    <w:p>
      <w:r>
        <w:t xml:space="preserve">(2) Soweit die Anzahl der Bewerbungen die Anzahl der zur Verfügung stehenden Ausbildungsplätze übersteigt, gilt § 7 Absatz 2 entsprechend.</w:t>
      </w:r>
    </w:p>
    <w:p>
      <w:r>
        <w:t xml:space="preserve">(3) Soweit auf Grund der Bewerberlage die Ausbildungskapazität nicht ausgeschöpft wird, können die verbleibenden Ausbildungsplätze insbesondere für die Ausbildung von Lehrkräften für Lehrämter und Fächer verwendet werden, für die an Ersatzschulen im Land Brandenburg ein Bedarf besteht.</w:t>
      </w:r>
    </w:p>
    <w:p>
      <w:r>
        <w:rPr>
          <w:color w:val="555555"/>
          <w:sz w:val="17"/>
        </w:rPr>
        <w:t xml:space="preserve">Zitiervorschlag: § 14 LAPV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