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LAPO I (Sachsen) — Sport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Sportpraxis</w:t>
      </w:r>
    </w:p>
    <w:p>
      <w:r>
        <w:t xml:space="preserve">a)</w:t>
      </w:r>
    </w:p>
    <w:p>
      <w:r>
        <w:t xml:space="preserve">Grundlagen des Bewegungskönnens,</w:t>
      </w:r>
    </w:p>
    <w:p>
      <w:r>
        <w:t xml:space="preserve">b)</w:t>
      </w:r>
    </w:p>
    <w:p>
      <w:r>
        <w:t xml:space="preserve">sportorientierte Kompetenzen aus den Bewegungsfeldern: Spielen, Laufen/Werfen/Springen, Bewegen an und mit Geräten, Bewegen im Wasser sowie Gestalten/Tanzen/Darstellen,</w:t>
      </w:r>
    </w:p>
    <w:p>
      <w:r>
        <w:t xml:space="preserve">c)</w:t>
      </w:r>
    </w:p>
    <w:p>
      <w:r>
        <w:t xml:space="preserve">sportartübergreifende Kompetenzen in weiteren Bewegungsfeldern,</w:t>
      </w:r>
    </w:p>
    <w:p>
      <w:r>
        <w:t xml:space="preserve">d)</w:t>
      </w:r>
    </w:p>
    <w:p>
      <w:r>
        <w:t xml:space="preserve">Grundlagen der Sicherheits- und Regelkenntnis in der Sportpraxis,</w:t>
      </w:r>
    </w:p>
    <w:p>
      <w:r>
        <w:t xml:space="preserve">e)</w:t>
      </w:r>
    </w:p>
    <w:p>
      <w:r>
        <w:t xml:space="preserve">Nachweis sportpraktischer Kompetenzen aus einem der Bewegungsfelder Leichtathletik oder Gerätturnen,</w:t>
      </w:r>
    </w:p>
    <w:p>
      <w:r>
        <w:t xml:space="preserve">2. Sportwissenschaft</w:t>
      </w:r>
    </w:p>
    <w:p>
      <w:r>
        <w:t xml:space="preserve">a)</w:t>
      </w:r>
    </w:p>
    <w:p>
      <w:r>
        <w:t xml:space="preserve">sportpsychologische Grundlagen,</w:t>
      </w:r>
    </w:p>
    <w:p>
      <w:r>
        <w:t xml:space="preserve">b)</w:t>
      </w:r>
    </w:p>
    <w:p>
      <w:r>
        <w:t xml:space="preserve">sportmotorische und trainingswissenschaftliche Grundlagen,</w:t>
      </w:r>
    </w:p>
    <w:p>
      <w:r>
        <w:t xml:space="preserve">c)</w:t>
      </w:r>
    </w:p>
    <w:p>
      <w:r>
        <w:t xml:space="preserve">sportbiologische Grundlagen von Bewegung und Training sowie</w:t>
      </w:r>
    </w:p>
    <w:p>
      <w:r>
        <w:t xml:space="preserve">3. Fachdidaktik</w:t>
      </w:r>
    </w:p>
    <w:p>
      <w:r>
        <w:t xml:space="preserve">a)</w:t>
      </w:r>
    </w:p>
    <w:p>
      <w:r>
        <w:t xml:space="preserve">Entwicklung und Begründung von Lehr- und Lernprozessen auf der Grundlage unterschiedlicher didaktischer Theorien, Modelle und Konzepte,</w:t>
      </w:r>
    </w:p>
    <w:p>
      <w:r>
        <w:t xml:space="preserve">b)</w:t>
      </w:r>
    </w:p>
    <w:p>
      <w:r>
        <w:t xml:space="preserve">Möglichkeiten der individuellen Förderung in heterogenen Lerngruppen,</w:t>
      </w:r>
    </w:p>
    <w:p>
      <w:r>
        <w:t xml:space="preserve">c)</w:t>
      </w:r>
    </w:p>
    <w:p>
      <w:r>
        <w:t xml:space="preserve">Besonderheiten der Leistungsermittlung und -bewertung.</w:t>
      </w:r>
    </w:p>
    <w:p>
      <w:r>
        <w:t xml:space="preserve">(2) Prüfungsinhalte sind:</w:t>
      </w:r>
    </w:p>
    <w:p>
      <w:r>
        <w:t xml:space="preserve">1. Sportwissenschaft: Kenntnis der Grundlagen der Bewegungs- und Trainingswissenschaft, Sportpsychologie, Anwendung von Gestaltungs- und Trainingsgrundsätzen des Sportunterrichts unter Beachtung von Ontogenese und Geschlechtsspezifik, Sportmedizin, Wirkung und Gestaltung sportlichen Trainings, Umgang mit Gruppendynamik, Motivation und Emotion im Sportunterricht sowie</w:t>
      </w:r>
    </w:p>
    <w:p>
      <w:r>
        <w:t xml:space="preserve">2. Fachdidaktik: Kenntnis curricularer Dokumente; Planung, Gestaltung und Reflexion des Sportunterrichts in der Oberschule unter Beachtung heterogener Lernvoraussetzungen und individueller Entwicklungspotenziale; Bewegung, Spiel und Sport unter fachübergreifender Perspektive; ziel- und adressatengerechter Einsatz digitaler Medien.</w:t>
      </w:r>
    </w:p>
    <w:p>
      <w:r>
        <w:t xml:space="preserve">(3) Die mündliche Prüfung des Faches erstreckt sich auf zwei Schwerpunkte aus dem Bereich nach Absatz 1 Nummer 2.</w:t>
      </w:r>
    </w:p>
    <w:p>
      <w:r>
        <w:rPr>
          <w:color w:val="555555"/>
          <w:sz w:val="17"/>
        </w:rPr>
        <w:t xml:space="preserve">Zitiervorschlag: § 67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https://recht.nulegal.eu/gesetze/LAPO%20I/67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