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LAPO I (Sachsen) — Druck- und Medientechnik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Technikwissenschaftliche Aspekte</w:t>
      </w:r>
    </w:p>
    <w:p>
      <w:r>
        <w:t xml:space="preserve">a)</w:t>
      </w:r>
    </w:p>
    <w:p>
      <w:r>
        <w:t xml:space="preserve">berufsfeldtypische Werk- und Hilfsstoffe,</w:t>
      </w:r>
    </w:p>
    <w:p>
      <w:r>
        <w:t xml:space="preserve">b)</w:t>
      </w:r>
    </w:p>
    <w:p>
      <w:r>
        <w:t xml:space="preserve">maschinenbautechnische Konstruktionen von Druck- und Verarbeitungs-maschinen sowie Verarbeitungsaggregaten,</w:t>
      </w:r>
    </w:p>
    <w:p>
      <w:r>
        <w:t xml:space="preserve">c)</w:t>
      </w:r>
    </w:p>
    <w:p>
      <w:r>
        <w:t xml:space="preserve">Grundlagen der Mess-, Steuerungs- und Regelungstechnik,</w:t>
      </w:r>
    </w:p>
    <w:p>
      <w:r>
        <w:t xml:space="preserve">d)</w:t>
      </w:r>
    </w:p>
    <w:p>
      <w:r>
        <w:t xml:space="preserve">informationstechnische und kommunikationstechnische Grundlagen der Datenverarbeitung und Datenübertragung,</w:t>
      </w:r>
    </w:p>
    <w:p>
      <w:r>
        <w:t xml:space="preserve">2. Naturwissenschaftliche Aspekte</w:t>
      </w:r>
    </w:p>
    <w:p>
      <w:r>
        <w:t xml:space="preserve">a)</w:t>
      </w:r>
    </w:p>
    <w:p>
      <w:r>
        <w:t xml:space="preserve">physikalische und chemische Grundlagen,</w:t>
      </w:r>
    </w:p>
    <w:p>
      <w:r>
        <w:t xml:space="preserve">b)</w:t>
      </w:r>
    </w:p>
    <w:p>
      <w:r>
        <w:t xml:space="preserve">Mathematik des Berufsfeldes,</w:t>
      </w:r>
    </w:p>
    <w:p>
      <w:r>
        <w:t xml:space="preserve">3. Berufswissenschaftliche Aspekte</w:t>
      </w:r>
    </w:p>
    <w:p>
      <w:r>
        <w:t xml:space="preserve">a)</w:t>
      </w:r>
    </w:p>
    <w:p>
      <w:r>
        <w:t xml:space="preserve">Farb- und Gestaltungslehre,</w:t>
      </w:r>
    </w:p>
    <w:p>
      <w:r>
        <w:t xml:space="preserve">b)</w:t>
      </w:r>
    </w:p>
    <w:p>
      <w:r>
        <w:t xml:space="preserve">Grafik- und Layoutdesign sowie</w:t>
      </w:r>
    </w:p>
    <w:p>
      <w:r>
        <w:t xml:space="preserve">4. Berufsfelddidaktik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Prüfungsinhalte sind:</w:t>
      </w:r>
    </w:p>
    <w:p>
      <w:r>
        <w:t xml:space="preserve">1. Bereich Mediengestaltung, Satz- und Bildbearbeitung: Text- und Bildintegration, Mehrfarbenreproduktion und Rasterung; Druckformmontage, Druckformenherstellung sowie berufsfeldtypische Anwendersoftware; Farbsysteme und -räume in Abhängigkeit von Print- und Nonprintverarbeitung; berufsfeldtypische Mess- und Prüfverfahren zur qualitativen Bewertung von Farbsystemen, Farbmanagement, Netzwerkaufbau, Datenbanken und Contentmanagementsystemen; Datenübertragung in der vernetzten Druckerei,</w:t>
      </w:r>
    </w:p>
    <w:p>
      <w:r>
        <w:t xml:space="preserve">2. Bereich Medientechnologie, Druck und Siebdruck: Druckformenherstellung in Abhängigkeit vom Druckverfahren; Wechselwirkungen zwischen Druckverfahren, Bedruckstoffen und Druckmaschinen; Konstruktionsarten von Druckmaschinen und Aggregaten im Bogen- und Rollendruck sowie im Siebdruck; Farbwerke, Bogen- und Bahntransport; Trocknung, Veredelung und Verarbeitung; Steuerung und Bedienung von Druckmaschinen; berufsfeldtypische Mess- und Prüfverfahren zur qualitativen Bewertung von Printprodukten; berufsfeldtypische Prozessstandards,</w:t>
      </w:r>
    </w:p>
    <w:p>
      <w:r>
        <w:t xml:space="preserve">3. Bereich Medientechnologien und Druckverarbeitung: Werkstoffe und Verfahren; Planung und Steuerung von Fertigungsabläufen für die industrielle Produktion von Printprodukten; Fertigung von Produkten und Sonderarbeiten der handwerklichen Buchbinderei; Konstruktionsarten von Verarbeitungsmaschinen und Aggregaten; Aufbau, Bedienung, Wartung und Instandhaltung; berufsfeldtypische Mess- und Prüfverfahren zur qualitativen Bewertung von Vor-, Teil- und Endprodukten der industriellen Druckverarbeitung und buchbinderischen Erzeugnissen sowie</w:t>
      </w:r>
    </w:p>
    <w:p>
      <w:r>
        <w:t xml:space="preserve">4.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(3) Die mündliche Prüfung der Fachrichtung erstreckt sich auf einen der Bereiche nach Absatz 2 Nummer 1 bis 3.</w:t>
      </w:r>
    </w:p>
    <w:p>
      <w:r>
        <w:rPr>
          <w:color w:val="555555"/>
          <w:sz w:val="17"/>
        </w:rPr>
        <w:t xml:space="preserve">Zitiervorschlag: § 106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