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LAP-mtDBWVV — Bewertungen während der praktischen Ausbildung</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Über die Leistungen und den Befähigungsstand der Anwärterinnen und Anwärter wird für jeden Teil der praktischen Ausbildung, der nach dem Ausbildungsplan mindestens einen Monat umfasst, ein Beitrag zur Bewertung nach § 32 abgegeben.</w:t>
      </w:r>
    </w:p>
    <w:p>
      <w:r>
        <w:t xml:space="preserve">(2) Zum Abschluss der praktischen Ausbildung erstellt die Ausbildungsleitung unter Berücksichtigung der Beiträge nach Absatz 1 eine Gesamtbewertung für die praktische Ausbildung. Diese muss mit einer Durchschnittspunktzahl nach § 32 Abs. 1 Satz 2 abschließen.</w:t>
      </w:r>
    </w:p>
    <w:p>
      <w:r>
        <w:t xml:space="preserve">(3) Die Beiträge nach Absatz 1 und die Bewertung nach Absatz 2 werden auf der Grundlage eines Entwurfs mit den Anwärterinnen und Anwärtern besprochen. Sie sind ihnen zu eröffnen. Die Anwärterinnen und Anwärter erhalten eine Ausfertigung der Bewertung und der Beiträge und können dazu schriftlich oder elektronisch Stellung nehmen.</w:t>
      </w:r>
    </w:p>
    <w:p>
      <w:r>
        <w:rPr>
          <w:color w:val="555555"/>
          <w:sz w:val="17"/>
        </w:rPr>
        <w:t xml:space="preserve">Zitiervorschlag: § 20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