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LAP-mtDBWVV — Leistungsnachweise und Bewertungen während der Lehrgänge</w:t>
      </w:r>
    </w:p>
    <w:p>
      <w:r>
        <w:rPr>
          <w:color w:val="555555"/>
          <w:sz w:val="18"/>
        </w:rPr>
        <w:t xml:space="preserve">Verordnung über die Laufbahn, Ausbildung und Prüfung für den mittleren technischen Dienst in der Bundeswehrverwaltung - Fachrichtung Wehrtechnik -</w:t>
      </w:r>
    </w:p>
    <w:p>
      <w:r>
        <w:rPr>
          <w:color w:val="555555"/>
          <w:sz w:val="18"/>
        </w:rPr>
        <w:t xml:space="preserve">Historische Fassung: Stand 10.06.2019 bis 01.08.2024. Dies ist nicht die aktuelle Fassung.</w:t>
      </w:r>
    </w:p>
    <w:p>
      <w:r>
        <w:t xml:space="preserve">(1) Während der Lehrgänge sind folgende schriftliche Aufsichtsarbeiten von jeweils drei Stunden Dauer zu fertigen:</w:t>
      </w:r>
    </w:p>
    <w:p>
      <w:pPr>
        <w:ind w:left="420"/>
      </w:pPr>
      <w:r>
        <w:t xml:space="preserve">1. im Lehrgang Allgemeine Rechts- und Verwaltungsgrundlagen zwei Arbeiten aus den dort vermittelten Lehrinhalten und</w:t>
      </w:r>
    </w:p>
    <w:p>
      <w:pPr>
        <w:ind w:left="420"/>
      </w:pPr>
      <w:r>
        <w:t xml:space="preserve">2. im Abschlusslehrgang drei Arbeiten aus den in § 18 Abs. 2 genannten Gebieten.</w:t>
      </w:r>
    </w:p>
    <w:p>
      <w:r>
        <w:t xml:space="preserve">(2) Die Arbeiten sind in allen Lehrgangsklassen zum gleichen Zeitpunkt und mit einheitlicher Themenstellung zu schreiben. Dies gilt beim Lehrgang Allgemeine Rechts- und Verwaltungsgrundlagen auch, wenn der Lehrgang auf verschiedene Lehrinstitute verteilt ist. Im Abschlusslehrgang bezieht sich die einheitliche Themenstellung auf das jeweilige wehrtechnische Fachgebiet; die Leitung der Bundeswehrverwaltungsschule I - Technik - stellt sicher, dass in allen Fachgebieten die gleichen Anforderungen gestellt werden. Die Arbeiten werden von der oder dem jeweiligen Lehrenden nach § 32 bewertet und der Leitung der Bundeswehrverwaltungsschule vorgelegt. Diese kann die Noten und Rangpunkte ändern, um einen einheitlichen Bewertungsmaßstab sicherzustellen; eine Änderung ist schriftlich oder elektronisch zu begründen.</w:t>
      </w:r>
    </w:p>
    <w:p>
      <w:r>
        <w:t xml:space="preserve">(3) Auf dem Gebiet der Informationstechnik (§ 18 Abs. 3) ist zusätzlich ein Leistungsnachweis zu erbringen, der aus einem theoretischen und einem praktischen Teil besteht. Die Leistungen in beiden Teilen werden jeweils mit einem Rangpunkt bewertet; die Rangpunkte werden zu einer Durchschnittspunktzahl zusammengefasst.</w:t>
      </w:r>
    </w:p>
    <w:p>
      <w:r>
        <w:t xml:space="preserve">(4) In allen Lehrgängen können außerdem Leistungstests in schriftlicher, mündlicher oder praktischer Form gefordert werden. Die Leistungen werden nach § 32 bewertet. Die Bewertungen werden zu einer Durchschnittspunktzahl der sonstigen Leistungen zusammengefasst.</w:t>
      </w:r>
    </w:p>
    <w:p>
      <w:r>
        <w:t xml:space="preserve">(5) Wer an einem Leistungsnachweis nicht teilnehmen und ihn nicht innerhalb des jeweiligen Lehrgangs nachholen kann, erhält Gelegenheit, sich dem Leistungsnachweis zu einem späteren Zeitpunkt der Ausbildung zu unterziehen. Ist der Leistungsnachweis unentschuldigt nicht bis zum ersten Tag der schriftlichen Prüfung (§ 27) erbracht worden, gilt er als mit "ungenügend" (Rangpunkt 0) bewertet.</w:t>
      </w:r>
    </w:p>
    <w:p>
      <w:r>
        <w:t xml:space="preserve">(6) Bei Verhinderung, Rücktritt, Säumnis, Täuschungshandlungen und Ordnungsverstößen sind die §§ 30 und 31 entsprechend anzuwenden. Über die Folgen entscheidet die Leitung der Bundeswehrverwaltungsschule.</w:t>
      </w:r>
    </w:p>
    <w:p>
      <w:r>
        <w:t xml:space="preserve">(7) Am Ende des Lehrgangs Allgemeine Rechts- und Verwaltungsgrundlagen sowie zum Abschluss der gesamten fachtheoretischen Ausbildung werden in einer Bewertung die Leistungen der Anwärterin oder des Anwärters festgestellt. Die Bewertung enthält die Rangpunktzahlen der Aufsichtsarbeiten gemäß Absatz 1 sowie die Durchschnittspunktzahlen des Leistungsnachweises gemäß Absatz 3 und der sonstigen Leistungen gemäß Absatz 4; sie schließt mit einer nach § 32 Abs. 1 Satz 2 ermittelten Durchschnittspunktzahl. Bei der Ermittlung der Durchschnittspunktzahl werden die schriftlichen Aufsichtsarbeiten vierfach, der Leistungsnachweis gemäß Absatz 3 zweifach und die sonstigen Leistungen einfach gewertet. Die Anwärterinnen und Anwärter erhalten eine Ausfertigung der Bewertung.</w:t>
      </w:r>
    </w:p>
    <w:p>
      <w:r>
        <w:rPr>
          <w:color w:val="555555"/>
          <w:sz w:val="17"/>
        </w:rPr>
        <w:t xml:space="preserve">Zitiervorschlag: § 19 LAP-mtDBWVV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https://recht.nulegal.eu/gesetze/LAP-mtDBWVV/19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