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LAP-mtDBWVV — Laufbahnämter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Die Laufbahn des mittleren technischen Dienstes in der Bundeswehrverwaltung - Fachrichtung Wehrtechnik - mit den Fachgebieten</w:t>
      </w:r>
    </w:p>
    <w:p>
      <w:pPr>
        <w:ind w:left="420"/>
      </w:pPr>
      <w:r>
        <w:t xml:space="preserve">1. Allgemeiner Maschinenbau,</w:t>
      </w:r>
    </w:p>
    <w:p>
      <w:pPr>
        <w:ind w:left="420"/>
      </w:pPr>
      <w:r>
        <w:t xml:space="preserve">2. Kraftfahrwesen,</w:t>
      </w:r>
    </w:p>
    <w:p>
      <w:pPr>
        <w:ind w:left="420"/>
      </w:pPr>
      <w:r>
        <w:t xml:space="preserve">3. Luftfahrzeugbau,</w:t>
      </w:r>
    </w:p>
    <w:p>
      <w:pPr>
        <w:ind w:left="420"/>
      </w:pPr>
      <w:r>
        <w:t xml:space="preserve">4. Luftfahrzeugantriebe,</w:t>
      </w:r>
    </w:p>
    <w:p>
      <w:pPr>
        <w:ind w:left="420"/>
      </w:pPr>
      <w:r>
        <w:t xml:space="preserve">5. Schiffbau,</w:t>
      </w:r>
    </w:p>
    <w:p>
      <w:pPr>
        <w:ind w:left="420"/>
      </w:pPr>
      <w:r>
        <w:t xml:space="preserve">6. Schiffsmaschinenbau,</w:t>
      </w:r>
    </w:p>
    <w:p>
      <w:pPr>
        <w:ind w:left="420"/>
      </w:pPr>
      <w:r>
        <w:t xml:space="preserve">7. Informationstechnik und Elektronik,</w:t>
      </w:r>
    </w:p>
    <w:p>
      <w:pPr>
        <w:ind w:left="420"/>
      </w:pPr>
      <w:r>
        <w:t xml:space="preserve">8. Elektrotechnik und Elektroenergiewesen,</w:t>
      </w:r>
    </w:p>
    <w:p>
      <w:pPr>
        <w:ind w:left="420"/>
      </w:pPr>
      <w:r>
        <w:t xml:space="preserve">9. Waffen- und Munitionswesen und</w:t>
      </w:r>
    </w:p>
    <w:p>
      <w:pPr>
        <w:ind w:left="420"/>
      </w:pPr>
      <w:r>
        <w:t xml:space="preserve">10. Feinwerktechnik und Optik</w:t>
      </w:r>
    </w:p>
    <w:p>
      <w:r>
        <w:t xml:space="preserve">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Technische Regierungsobersekretäranwärterin/Technischer Regierungsobersekretäranwärter    im Vorbereitungsdienst,</w:t>
      </w:r>
    </w:p>
    <w:p>
      <w:r>
        <w:rPr>
          <w:rFonts w:ascii="Courier New" w:hAnsi="Courier New"/>
          <w:sz w:val="17"/>
        </w:rPr>
        <w:t xml:space="preserve">2.    Technische Regierungsobersekretärin zur Anstellung (z. A.)/Technischer Regierungsobersekretär zur Anstellung (z. A.)    in der Probezeit bis zur Anstellung,</w:t>
      </w:r>
    </w:p>
    <w:p>
      <w:r>
        <w:rPr>
          <w:rFonts w:ascii="Courier New" w:hAnsi="Courier New"/>
          <w:sz w:val="17"/>
        </w:rPr>
        <w:t xml:space="preserve">3.    Technische Regierungsobersekretärin/Technischer Regierungsobersekretär    im Eingangsamt,</w:t>
      </w:r>
    </w:p>
    <w:p>
      <w:r>
        <w:rPr>
          <w:rFonts w:ascii="Courier New" w:hAnsi="Courier New"/>
          <w:sz w:val="17"/>
        </w:rPr>
        <w:t xml:space="preserve">4.    Technische Regierungshauptsekretärin/Technischer Regierungshauptsekretär    im ersten Beförderungsamt und</w:t>
      </w:r>
    </w:p>
    <w:p>
      <w:r>
        <w:rPr>
          <w:rFonts w:ascii="Courier New" w:hAnsi="Courier New"/>
          <w:sz w:val="17"/>
        </w:rPr>
        <w:t xml:space="preserve">5.    Technische Amtsinspektorin/Technischer Amtsinspektor    im zweiten Beförderungsamt.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