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LAP-mntDBWVV — Zwischenprüfung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Zum Abschluss des Einführungslehrgangs haben die Anwärterinnen und Anwärter in einer Zwischenprüfung nachzuweisen, dass sie den Wissens- und Kenntnisstand erreicht haben, der eine erfolgreiche weitere Ausbildung erwarten lässt.</w:t>
      </w:r>
    </w:p>
    <w:p>
      <w:r>
        <w:t xml:space="preserve">(2) Die Zwischenprüfung richtet sich an den Lernzielen aus. Sie besteht aus drei schriftlichen Aufsichtsarbeiten, deren Aufgabenschwerpunkte den in § 21 Abs. 2 genannten Lehrgebieten zugeordnet sind. Die Aufsichtsarbeiten sind an allen Bundeswehrverwaltungsschulen an drei aufeinander folgenden Arbeitstagen zu fertigen. § 21 Abs. 4 gilt entsprechend.</w:t>
      </w:r>
    </w:p>
    <w:p>
      <w:r>
        <w:t xml:space="preserve">(3) Zur Bewertung der Aufsichtsarbeiten setzen die Bundeswehrverwaltungsschulen jeweils eine Prüfungskommission ein. Für eine Zwischenprüfung können mehrere Prüfungskommissionen eingerichtet werden, wenn die Zahl der zu prüfenden Anwärterinnen und Anwärter und die Zeitplanung zum fristgerechten Abschluss der Prüfung es erfordern; die gleichmäßige Anwendung der Bewertungsmaßstäbe muss gewährleistet sein. Die Prüfungskommission besteht aus mindestens drei Lehrenden einer Bundeswehrverwaltungsschule; die Bundeswehrverwaltungsschule bestimmt, wer von ihnen den Vorsitz führt. Die Prüfenden sind bei ihrer Tätigkeit unabhängig und an Weisungen nicht gebunden.</w:t>
      </w:r>
    </w:p>
    <w:p>
      <w:r>
        <w:t xml:space="preserve">(4) Die Durchführung der Zwischenprüfung und die Festlegung ihrer Einzelheiten obliegen den Bundeswehrverwaltungsschulen; § 28 Abs. 5 Satz 1, § 30 Abs. 2 Satz 2 und Abs. 5 sowie die §§ 33 bis 35 und 37 sind entsprechend anzuwenden.</w:t>
      </w:r>
    </w:p>
    <w:p>
      <w:r>
        <w:t xml:space="preserve">(5) Jede Aufsichtsarbeit wird von zwei Prüfenden unabhängig voneinander nach § 35 bewertet. Die oder der Zweitprüfende kann Kenntnis von der Bewertung der oder des Erstprüfenden haben. Weichen die Bewertungen voneinander ab, entscheidet die Prüfungskommission mit Stimmenmehrheit. § 27 Abs. 5 Satz 3 und 4 ist entsprechend anzuwenden. Wird die geforderte Prüfungsarbeit nicht oder nicht rechtzeitig abgeliefert, gilt sie als mit "ungenügend" (Rangpunkt 0) bewertet.</w:t>
      </w:r>
    </w:p>
    <w:p>
      <w:r>
        <w:t xml:space="preserve">(6) Die Zwischenprüfung hat bestanden, wer für zwei Aufsichtsarbeiten mindestens die Note "ausreichend" erzielt und insgesamt die Durchschnittspunktzahl 5 erreicht hat.</w:t>
      </w:r>
    </w:p>
    <w:p>
      <w:r>
        <w:t xml:space="preserve">(7) Wer die Zwischenprüfung nicht bestanden hat, kann sie spätestens drei Monate und frühestens einen Monat nach Abschluss des Einführungslehrgangs wiederholen; in begründeten Fällen kann das Bundesministerium der Verteidigung eine zweite Wiederholung zulassen. Die Zwischenprüfung ist vollständig zu wiederholen. Die bei der Wiederholung erreichten Rangpunkte und Noten ersetzen die bisherigen. Die weitere Ausbildung wird wegen der Wiederholung der Prüfung nicht ausgesetzt. Bei endgültigem Nichtbestehen der Zwischenprüfung endet das Beamtenverhältnis auf Widerruf mit Ablauf des Tages der schriftlichen Bekanntgabe des Prüfungsergebnisses.</w:t>
      </w:r>
    </w:p>
    <w:p>
      <w:r>
        <w:t xml:space="preserve">(8) Die Bundeswehrverwaltungsschule erteilt den Anwärterinnen und Anwärtern spätestens vier Wochen nach Ende des Einführungslehrgangs über das Ergebnis der bestandenen Zwischenprüfung ein Zeugnis, das die Rangpunkte, die Noten und die Durchschnittspunktzahl enthält. Das Zeugnis wird durch Bescheid zugestellt. Ist die Prüfung nicht bestanden, gibt die Bundeswehrverwaltungsschule dies der Anwärterin oder dem Anwärter schriftlich bekannt; dabei soll der Zeitpunkt der Wiederholungsprüfung mitgeteilt werden. Die Bescheide nach den Sätzen 2 und 3 werden mit einer Rechtsbehelfsbelehrung versehen.</w:t>
      </w:r>
    </w:p>
    <w:p>
      <w:r>
        <w:t xml:space="preserve">(9) § 38 Abs. 2 gilt entsprechend.</w:t>
      </w:r>
    </w:p>
    <w:p>
      <w:r>
        <w:rPr>
          <w:color w:val="555555"/>
          <w:sz w:val="17"/>
        </w:rPr>
        <w:t xml:space="preserve">Zitiervorschlag: § 25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