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LAP-mntDBWVV — Allgemeine Aufstiegsregelungen</w:t>
      </w:r>
    </w:p>
    <w:p>
      <w:r>
        <w:rPr>
          <w:color w:val="555555"/>
          <w:sz w:val="18"/>
        </w:rPr>
        <w:t xml:space="preserve">Verordnung über die Laufbahn, Ausbildung und Prüfung für den mittleren nichttechnischen Verwaltungsdienst in der Bundeswehrverwaltung</w:t>
      </w:r>
    </w:p>
    <w:p>
      <w:r>
        <w:rPr>
          <w:color w:val="555555"/>
          <w:sz w:val="18"/>
        </w:rPr>
        <w:t xml:space="preserve">Historische Fassung: Stand 10.06.2019 bis 01.09.2022. Dies ist nicht die aktuelle Fassung.</w:t>
      </w:r>
    </w:p>
    <w:p>
      <w:r>
        <w:t xml:space="preserve">(1) Die personalbearbeitenden Dienststellen benennen die Beamtinnen und Beamten, die am Auswahlverfahren für den Aufstieg nach den §§ 33 bis 33b der Bundeslaufbahnverordnung in der Fassung der Bekanntmachung vom 2. Juli 2002 (BGBl. I S. 2459, 2761), die zuletzt durch Artikel 15 Absatz 28 des Gesetzes vom 5. Februar 2009 (BGBl. I S. 160) geändert worden ist, teilnehmen. Auf die Durchführung des an einem zentralen Lehrinstitut stattfindenden Auswahlverfahrens ist § 6 entsprechend anzuwenden. Über die Zulassung zum Aufstieg entscheiden die personalbearbeitenden Dienststellen im Einvernehmen mit dem Bundesministerium der Verteidigung nach Maßgabe des Ergebnisses des Auswahlverfahrens.</w:t>
      </w:r>
    </w:p>
    <w:p>
      <w:r>
        <w:t xml:space="preserve">(2) Nach bestandener Laufbahnprüfung oder der Feststellung der Befähigung für die höhere Laufbahn verbleiben die Aufstiegsbeamtinnen und Aufstiegsbeamten bis zur Verleihung des Eingangsamtes der höheren Laufbahn in ihrer bisherigen Rechtsstellung.</w:t>
      </w:r>
    </w:p>
    <w:p>
      <w:r>
        <w:t xml:space="preserve">(3) Aufstiegsbeamtinnen und Aufstiegsbeamte, die die Laufbahn oder Zwischenprüfung endgültig nicht bestehen oder deren Befähigung für die höhere Laufbahn endgültig nicht festgestellt wird, verbleiben in ihrer bisherigen Laufbahn.</w:t>
      </w:r>
    </w:p>
    <w:p>
      <w:r>
        <w:rPr>
          <w:color w:val="555555"/>
          <w:sz w:val="17"/>
        </w:rPr>
        <w:t xml:space="preserve">Zitiervorschlag: § 23 LAP-mntDBWVV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https://recht.nulegal.eu/gesetze/LAP-mntDBWVV/23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