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LAP-mntDBWVV — Leistungsnachweise während der fachtheoretischen Ausbildung</w:t>
      </w:r>
    </w:p>
    <w:p>
      <w:r>
        <w:rPr>
          <w:color w:val="555555"/>
          <w:sz w:val="18"/>
        </w:rPr>
        <w:t xml:space="preserve">Verordnung über die Laufbahn, Ausbildung und Prüfung für den mittleren nichttechnischen Verwaltungsdienst in der Bundeswehrverwaltung</w:t>
      </w:r>
    </w:p>
    <w:p>
      <w:r>
        <w:rPr>
          <w:color w:val="555555"/>
          <w:sz w:val="18"/>
        </w:rPr>
        <w:t xml:space="preserve">Historische Fassung: Stand 10.06.2019 bis 01.09.2022. Dies ist nicht die aktuelle Fassung.</w:t>
      </w:r>
    </w:p>
    <w:p>
      <w:r>
        <w:t xml:space="preserve">(1) Während der fachtheoretischen Ausbildung haben die Anwärterinnen und Anwärter Leistungsnachweise zu erbringen. Leistungsnachweise können sein:</w:t>
      </w:r>
    </w:p>
    <w:p>
      <w:pPr>
        <w:ind w:left="420"/>
      </w:pPr>
      <w:r>
        <w:t xml:space="preserve">1. schriftliche Aufsichtsarbeiten,</w:t>
      </w:r>
    </w:p>
    <w:p>
      <w:pPr>
        <w:ind w:left="420"/>
      </w:pPr>
      <w:r>
        <w:t xml:space="preserve">2. andere schriftliche Ausarbeitungen und</w:t>
      </w:r>
    </w:p>
    <w:p>
      <w:pPr>
        <w:ind w:left="420"/>
      </w:pPr>
      <w:r>
        <w:t xml:space="preserve">3. Referate.</w:t>
      </w:r>
    </w:p>
    <w:p>
      <w:r>
        <w:t xml:space="preserve">Darüber hinaus können Leistungstests in schriftlicher oder mündlicher Form gefordert werden. Die Ergebnisse werden nach § 35 bewertet.</w:t>
      </w:r>
    </w:p>
    <w:p>
      <w:r>
        <w:t xml:space="preserve">(2) Während des Einführungslehrgangs sind zwei Aufsichtsarbeiten zu fertigen, deren Aufgabenschwerpunkte folgenden Lehrgebieten zu entnehmen sind:</w:t>
      </w:r>
    </w:p>
    <w:p>
      <w:pPr>
        <w:ind w:left="420"/>
      </w:pPr>
      <w:r>
        <w:t xml:space="preserve">1. Beamtenrecht,</w:t>
      </w:r>
    </w:p>
    <w:p>
      <w:pPr>
        <w:ind w:left="420"/>
      </w:pPr>
      <w:r>
        <w:t xml:space="preserve">2. Haushalts- und Kassenwesen,</w:t>
      </w:r>
    </w:p>
    <w:p>
      <w:pPr>
        <w:ind w:left="420"/>
      </w:pPr>
      <w:r>
        <w:t xml:space="preserve">3. Reise- und Umzugskostenrecht,</w:t>
      </w:r>
    </w:p>
    <w:p>
      <w:pPr>
        <w:ind w:left="420"/>
      </w:pPr>
      <w:r>
        <w:t xml:space="preserve">4. Wehrersatzwesen,</w:t>
      </w:r>
    </w:p>
    <w:p>
      <w:pPr>
        <w:ind w:left="420"/>
      </w:pPr>
      <w:r>
        <w:t xml:space="preserve">5. Verpflegung,</w:t>
      </w:r>
    </w:p>
    <w:p>
      <w:pPr>
        <w:ind w:left="420"/>
      </w:pPr>
      <w:r>
        <w:t xml:space="preserve">6. Arbeits- und Tarifrecht einschließlich Personalvertretungsrecht, Recht der schwerbehinderten Menschen und Gleichstellungsrecht,</w:t>
      </w:r>
    </w:p>
    <w:p>
      <w:pPr>
        <w:ind w:left="420"/>
      </w:pPr>
      <w:r>
        <w:t xml:space="preserve">7. Unterbringung, Liegenschafts- und Bauwesen und</w:t>
      </w:r>
    </w:p>
    <w:p>
      <w:pPr>
        <w:ind w:left="420"/>
      </w:pPr>
      <w:r>
        <w:t xml:space="preserve">8. Organisation und</w:t>
      </w:r>
    </w:p>
    <w:p>
      <w:pPr>
        <w:ind w:left="420"/>
      </w:pPr>
      <w:r>
        <w:t xml:space="preserve">9. Besoldungsrecht.</w:t>
      </w:r>
    </w:p>
    <w:p>
      <w:r>
        <w:t xml:space="preserve">(3) Während des Abschlusslehrgangs sind fünf Aufsichtsarbeiten zu fertigen; die Aufgabenschwerpunkte sind jeweils den in § 16 Abs. 2 genannten Lehrgebieten zu entnehmen.</w:t>
      </w:r>
    </w:p>
    <w:p>
      <w:r>
        <w:t xml:space="preserve">(4) Die Leitungen der Bundeswehrverwaltungsschulen bestimmen abwechselnd nach gegenseitiger Abstimmung die Aufgaben für die anzufertigenden Aufsichtsarbeiten; eine Zusammenfassung einzelner Lehrgebiete zu einer Aufgabe ist zulässig. Die Arbeiten sind in allen Lehrgangsklassen zum gleichen Zeitpunkt und mit einheitlicher Themenstellung zu schreiben. Dies gilt auch, wenn der Lehrgang auf verschiedene Lehrinstitute verteilt ist. Für die Aufgaben ist ein einheitlicher Bewertungsmaßstab und eine Bearbeitungszeit von jeweils drei Zeitstunden festzulegen.</w:t>
      </w:r>
    </w:p>
    <w:p>
      <w:r>
        <w:t xml:space="preserve">(5) Jeder Leistungsnachweis wird mindestens eine Woche vor der Ausführung angekündigt. Der Leistungsnachweis wird von der oder dem jeweils Lehrenden nach § 35 bewertet und der Leitung der jeweiligen Bundeswehrverwaltungsschule vorgelegt. Sie kann Rangpunkte ändern, um eine einheitliche Bewertung sicherzustellen; eine Änderung der Rangpunktzahl ist schriftlich oder elektronisch zu begründen.</w:t>
      </w:r>
    </w:p>
    <w:p>
      <w:r>
        <w:t xml:space="preserve">(6) Die Leistungsnachweise während des Einführungslehrgangs sollen spätestens drei Wochen vor Beginn der Zwischenprüfung, im Abschlusslehrgang drei Wochen vor Beginn der Laufbahnprüfung erbracht sein. Wer an einem Leistungsnachweis nicht teilnehmen und ihn nicht innerhalb des Ausbildungsabschnitts nachholen kann, erhält Gelegenheit, den Leistungsnachweis zu einem späteren Zeitpunkt der Ausbildung zu erbringen. Wird der Leistungsnachweis schuldhaft nicht bis zum ersten Tag der schriftlichen Prüfung erbracht, gilt er als mit "ungenügend" (Rangpunkt 0) bewertet.</w:t>
      </w:r>
    </w:p>
    <w:p>
      <w:r>
        <w:t xml:space="preserve">(7) Soweit nach dem Lehrplan im Einführungs- oder Abschlusslehrgang für ein Lehrgebiet mehr als 20 Unterrichtsstunden vorgesehen sind, hat jede oder jeder Lehrende am Ende des jeweiligen Lehrgangs über die Leistungsnachweise nach Absatz 1 Satz 2 mit Ausnahme der schriftlichen Aufsichtsarbeiten sowie die Leistungstests nach Absatz 1 Satz 3 eine zusammenfassende Bewertung abzugeben.</w:t>
      </w:r>
    </w:p>
    <w:p>
      <w:r>
        <w:t xml:space="preserve">(8) Zum Abschluss der gesamten fachtheoretischen Ausbildung stellt die jeweilige Bundeswehrverwaltungsschule ein zusammenfassendes Zeugnis aus, in dem die Leistungen der Anwärterinnen und Anwärter in den Aufsichtsarbeiten und alle Bewertungen des Einführungs- und Abschlusslehrgangs aufgeführt werden. Das Zeugnis schließt mit einer nach § 35 Abs. 1 Satz 2 ermittelten Durchschnittspunktzahl. Bei der Ermittlung der Durchschnittspunktzahl werden die schriftlichen Aufsichtsarbeiten vierfach und alle übrigen Bewertungen einfach gewertet. Die Anwärterinnen und Anwärter erhalten eine Ausfertigung des Zeugnisses.</w:t>
      </w:r>
    </w:p>
    <w:p>
      <w:r>
        <w:t xml:space="preserve">(9) Bei Verhinderung, Rücktritt, Säumnis, Täuschungshandlungen und Ordnungsverstößen sind die §§ 33 und 34 entsprechend anzuwenden. Über die Folgen entscheidet die Stelle, die die Aufgabe des Leistungsnachweises bestimmt hat.</w:t>
      </w:r>
    </w:p>
    <w:p>
      <w:r>
        <w:rPr>
          <w:color w:val="555555"/>
          <w:sz w:val="17"/>
        </w:rPr>
        <w:t xml:space="preserve">Zitiervorschlag: § 21 LAP-mntDBWVV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https://recht.nulegal.eu/gesetze/LAP-mntDBWVV/21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