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LAP-mntDBWVV — Schwerbehinderte Menschen</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Schwerbehinderten Menschen werden im Auswahlverfahren sowie für die Erbringung von Leistungsnachweisen und für die Teilnahme an Prüfungen die ihrer Behinderung angemessenen Erleichterungen gewährt. Hierauf sind sie rechtzeitig hinzuweisen. Art und Umfang der zu gewährenden Erleichterungen sind mit den schwerbehinderten Menschen und der Schwerbehindertenvertretung rechtzeitig, sofern dies zeitlich möglich ist, zu erörtern. Die Erleichterungen dürfen nicht dazu führen, dass die Anforderungen herabgesetzt werden. Die Sätze 1 bis 4 werden auch bei aktuellen Behinderungen, die nicht unter den Schutz des Neunten Buches Sozialgesetzbuch fallen, angewandt.</w:t>
      </w:r>
    </w:p>
    <w:p>
      <w:r>
        <w:t xml:space="preserve">(2) Im Auswahlverfahren wird die Schwerbehindertenvertretung nicht beteiligt, wenn der schwerbehinderte Mensch eine Beteiligung ablehnt.</w:t>
      </w:r>
    </w:p>
    <w:p>
      <w:r>
        <w:t xml:space="preserve">(3) Entscheidungen über Prüfungserleichterungen trifft das Prüfungsamt.</w:t>
      </w:r>
    </w:p>
    <w:p>
      <w:r>
        <w:rPr>
          <w:color w:val="555555"/>
          <w:sz w:val="17"/>
        </w:rPr>
        <w:t xml:space="preserve">Zitiervorschlag: § 12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