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LAP-mftDBwV — Rechtsstellung während des Vorbereitungsdienstes</w:t>
      </w:r>
    </w:p>
    <w:p>
      <w:r>
        <w:rPr>
          <w:color w:val="555555"/>
          <w:sz w:val="18"/>
        </w:rPr>
        <w:t xml:space="preserve">Verordnung über die Laufbahn, Ausbildung und Prüfung für den mittleren feuerwehrtechnischen Dienst in der Bundeswehr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ihrer Einstellung werden - unter Berufung in das Beamtenverhältnis auf Widerruf - Bewerberinnen zu Brandmeisteranwärterinnen und Bewerber zu Brandmeisteranwärtern ernannt.</w:t>
      </w:r>
    </w:p>
    <w:p>
      <w:r>
        <w:t xml:space="preserve">(2) Die Anwärterinnen und Anwärter unterstehen der Dienstaufsicht der Einstellungsbehörde. Während der Ausbildung an der Zentralen Ausbildungsstätte Brandschutz der Bundeswehr und an einer Bundeswehrverwaltungsschule unterstehen sie auch deren Dienstaufsicht.</w:t>
      </w:r>
    </w:p>
    <w:p>
      <w:r>
        <w:rPr>
          <w:color w:val="555555"/>
          <w:sz w:val="17"/>
        </w:rPr>
        <w:t xml:space="preserve">Zitiervorschlag: § 8 LAP-mftDBwV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https://recht.nulegal.eu/gesetze/LAP-mftDBwV/8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