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LAP-mftDBwV — Täuschung, Ordnungsverstoß</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Anwärterinnen oder Anwärtern, die bei einer schriftlichen Prüfungsarbeit, in der praktischen oder in der mündlichen Prüfung eine Täuschung versuchen oder dazu beitragen oder sonst gegen die Ordnung verstoßen, soll die Fortsetzung der Prüfung unter dem Vorbehalt einer Entscheidung des Prüfungsamtes oder der Prüfungskommission nach Absatz 2 über die weitere Fortsetzung der Prüfung gestattet werden; bei einer erheblichen Störung können sie von der weiteren Teilnahme an dem betreffenden Teil der Prüfung ausgeschlossen werden.</w:t>
      </w:r>
    </w:p>
    <w:p>
      <w:r>
        <w:t xml:space="preserve">(2) Über das Vorliegen und die Folgen eines Täuschungsversuchs, eines Beitrags zu einem solchen oder eines sonstigen Ordnungsverstoßes oder einer Täuschung während der praktischen oder mündlichen Prüfung entscheidet die Prüfungskommission. § 22 Abs. 5 ist entsprechend anzuwenden. Über das Vorliegen und die Folgen eines Täuschungsversuchs, eines Beitrags zu einem solchen, eines sonstigen Ordnungsverstoßes oder einer Täuschung während der schriftlichen Prüfungsarbeiten oder einer Täuschung, die nach Abgabe der schriftlichen Prüfungsarbeit festgestellt wird, entscheidet das Prüfungsamt nach Anhörung der oder des Vorsitzenden der Prüfungskommission. Die Prüfungskommission oder das Prüfungsamt können nach der Schwere der Verfehlung die Wiederholung einzelner oder mehrerer Prüfungsleistungen anordnen, die Prüfungsleistung mit "ungenügend" (Rangpunkt 0) bewerten oder die gesamte Prüfung für nicht bestanden erklären.</w:t>
      </w:r>
    </w:p>
    <w:p>
      <w:r>
        <w:t xml:space="preserve">(3) Wird eine Täuschung erst nach Abschluss der mündlichen Prüfung bekannt oder kann sie erst nach Abschluss der Prüfung nachgewiesen werden, kann das Prüfungsamt die Prüfung innerhalb einer Frist von fünf Jahren nach dem Tage der mündlichen Prüfung für nicht bestanden erklären. Der Bescheid ist mit einer Rechtsbehelfsbelehrung zu versehen.</w:t>
      </w:r>
    </w:p>
    <w:p>
      <w:r>
        <w:t xml:space="preserve">(4) Betroffene sind vor der Entscheidung nach den Absätzen 2 und 3 zu hören.</w:t>
      </w:r>
    </w:p>
    <w:p>
      <w:r>
        <w:rPr>
          <w:color w:val="555555"/>
          <w:sz w:val="17"/>
        </w:rPr>
        <w:t xml:space="preserve">Zitiervorschlag: § 31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