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LAP-mDVerfSchV — Praxisbezogene Lehrveranstaltungen</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Die praxisbezogenen Lehrveranstaltungen betragen in der Regel 360 Lehrstunden und haben zum Ziel, die in der fachtheoretischen Ausbildung und in den Praktika gewonnenen Kenntnisse in enger Beziehung zur Praxis zu vertiefen. Die Lehrveranstaltungen und der praktische Einsatz am Arbeitsplatz werden aufeinander abgestimmt.</w:t>
      </w:r>
    </w:p>
    <w:p>
      <w:r>
        <w:t xml:space="preserve">(2) Zu Beginn der Ausbildung findet an der Schule für Verfassungsschutz der Einführungslehrgang statt. Während des Praktikums I werden an der Schule für Verfassungsschutz die Fachlehrgänge "Registraturwesen", "Informationstechnik" und "Kommunikation/Kooperation" durchgeführt. Während des Praktikums II werden die Fachlehrgänge "Observation" und "Nachrichtendienstliche Einsatztechnik" durchgeführt.</w:t>
      </w:r>
    </w:p>
    <w:p>
      <w:r>
        <w:t xml:space="preserve">(3) (weggefallen)</w:t>
      </w:r>
    </w:p>
    <w:p>
      <w:r>
        <w:rPr>
          <w:color w:val="555555"/>
          <w:sz w:val="17"/>
        </w:rPr>
        <w:t xml:space="preserve">Zitiervorschlag: § 23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