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LAP-mDVerfSchV — Ziel der Ausbildung</w:t>
      </w:r>
    </w:p>
    <w:p>
      <w:r>
        <w:rPr>
          <w:color w:val="555555"/>
          <w:sz w:val="18"/>
        </w:rPr>
        <w:t xml:space="preserve">Verordnung über die Laufbahn, Ausbildung und Prüfung für den mittleren Dienst im Verfassungsschutz des Bundes</w:t>
      </w:r>
    </w:p>
    <w:p>
      <w:r>
        <w:rPr>
          <w:color w:val="555555"/>
          <w:sz w:val="18"/>
        </w:rPr>
        <w:t xml:space="preserve">Historische Fassung: Stand 10.06.2019 bis 16.08.2019. Dies ist nicht die aktuelle Fassung.</w:t>
      </w:r>
    </w:p>
    <w:p>
      <w:r>
        <w:t xml:space="preserve">(1) Die Ausbildung führt zur Berufsbefähigung. Sie vermittelt den Beamtinnen und Beamten das zur Wahrnehmung von Aufgaben der Laufbahn des mittleren Dienstes im Verfassungsschutz des Bundes erforderliche fachtheoretische Wissen sowie die hierfür notwendigen praktischen Kenntnisse und Fertigkeiten. Sie versetzt sie insbesondere in die Lage, Dienstgeschäfte mittleren Schwierigkeitsgrades selbständig zu erledigen und schwierigere Aufgaben nach Anleitung zu erfüllen. Die Beamtinnen und Beamten werden auf ihre Verantwortung im demokratischen und sozialen Rechtsstaat vorbereitet und auf die Bedeutung einer stabilen gesetzestreuen Verwaltung für die freiheitliche demokratische Grundordnung hingewiesen. Bedeutung und Auswirkungen des europäischen Einigungsprozesses werden berücksichtigt; die Beamtinnen und Beamten erwerben europaspezifische Kenntnisse. Allgemeine berufliche Fähigkeiten, insbesondere zur Kommunikation und Zusammenarbeit, zum kritischen Überprüfen des eigenen Handelns und zum selbständigen und wirtschaftlichen Handeln sowie soziale Kompetenz sind zu fördern.</w:t>
      </w:r>
    </w:p>
    <w:p>
      <w:r>
        <w:t xml:space="preserve">(2) Die Beamtinnen und Beamten werden befähigt, sich eigenständig weiterzubilden. Sie sind zum Selbststudium verpflichtet; das Selbststudium ist zu fördern.</w:t>
      </w:r>
    </w:p>
    <w:p>
      <w:r>
        <w:rPr>
          <w:color w:val="555555"/>
          <w:sz w:val="17"/>
        </w:rPr>
        <w:t xml:space="preserve">Zitiervorschlag: § 2 LAP-mDVerfSchV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https://recht.nulegal.eu/gesetze/LAP-mDVerfSchV/2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