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LAP-mDVerfSchV — Abschlusslehrgang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Der Abschlusslehrgang baut auf den Lerninhalten des Grund- und des Aufbaulehrgangs sowie auf den in den Praktika vermittelten Kenntnissen und Fertigkeiten auf und vertieft und ergänzt diese.</w:t>
      </w:r>
    </w:p>
    <w:p>
      <w:r>
        <w:t xml:space="preserve">(2) Die Anwärterinnen und Anwärter sollen die Fähigkeit erwerben, das vermittelte fachtheoretische Wissen auf einfache praktische Fälle selbständig und bei schwierigeren Fällen nach weiterer Anleitung anzuwenden.</w:t>
      </w:r>
    </w:p>
    <w:p>
      <w:r>
        <w:rPr>
          <w:color w:val="555555"/>
          <w:sz w:val="17"/>
        </w:rPr>
        <w:t xml:space="preserve">Zitiervorschlag: § 18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