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LAP-mDBNDV — Zeitpunkt und Inhalt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Zum Abschluss des Zwischenlehrgangs I haben die Anwärterinnen und Anwärter in einer Zwischenprüfung nachzuweisen, dass sie den Wissens- und Kenntnisstand erreicht haben, der eine erfolgreiche weitere Ausbildung erwarten lässt.</w:t>
      </w:r>
    </w:p>
    <w:p>
      <w:r>
        <w:t xml:space="preserve">(2) Die Zwischenprüfung besteht aus drei Aufsichtsarbeiten in den Fächern</w:t>
      </w:r>
    </w:p>
    <w:p>
      <w:pPr>
        <w:ind w:left="420"/>
      </w:pPr>
      <w:r>
        <w:t xml:space="preserve">1. Recht,</w:t>
      </w:r>
    </w:p>
    <w:p>
      <w:pPr>
        <w:ind w:left="420"/>
      </w:pPr>
      <w:r>
        <w:t xml:space="preserve">2. Haushalts-, Kassen- und Rechnungswesen und</w:t>
      </w:r>
    </w:p>
    <w:p>
      <w:pPr>
        <w:ind w:left="420"/>
      </w:pPr>
      <w:r>
        <w:t xml:space="preserve">3. Sicherheit und Geheimschutz.</w:t>
      </w:r>
    </w:p>
    <w:p>
      <w:r>
        <w:t xml:space="preserve">In ihnen können sämtliche Lehrbereiche des § 18 Abs. 2 Nr. 1 bis 5 geprüft werden. Zur Bearbeitung der Aufsichtsarbeiten stehen je drei Zeitstunden zur Verfügung. Die Arbeiten sind an drei aufeinander folgenden Arbeitstagen zu fertigen.</w:t>
      </w:r>
    </w:p>
    <w:p>
      <w:r>
        <w:rPr>
          <w:color w:val="555555"/>
          <w:sz w:val="17"/>
        </w:rPr>
        <w:t xml:space="preserve">Zitiervorschlag: § 37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