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LAP-mDAAV 2004 — Verhinderung, Rücktritt, Säumnis</w:t>
      </w:r>
    </w:p>
    <w:p>
      <w:r>
        <w:rPr>
          <w:color w:val="555555"/>
          <w:sz w:val="18"/>
        </w:rPr>
        <w:t xml:space="preserve">Verordnung über die Laufbahn, Ausbildung und Prüfung für den mittleren Auswärtigen Dienst</w:t>
      </w:r>
    </w:p>
    <w:p>
      <w:r>
        <w:rPr>
          <w:color w:val="555555"/>
          <w:sz w:val="18"/>
        </w:rPr>
        <w:t xml:space="preserve">Historische Fassung: Stand 10.06.2019 bis 13.04.2025. Dies ist nicht die aktuelle Fassung.</w:t>
      </w:r>
    </w:p>
    <w:p>
      <w:r>
        <w:t xml:space="preserve">(1) Wer durch eine Erkrankung oder sonstige nicht zu vertretende Umstände an der Ablegung der Prüfung oder Teilen der Prüfung verhindert ist, hat dies unverzüglich in geeigneter Form nachzuweisen. Eine Erkrankung ist durch Vorlage eines ärztlichen Zeugnisses nachzuweisen.</w:t>
      </w:r>
    </w:p>
    <w:p>
      <w:r>
        <w:t xml:space="preserve">(2) Aus wichtigem Grund können Anwärterinnen oder Anwärter mit Genehmigung der Prüfungskommission von der Prüfung zurücktreten.</w:t>
      </w:r>
    </w:p>
    <w:p>
      <w:r>
        <w:t xml:space="preserve">(3) Bei Verhinderung oder Rücktritt nach den Absätzen 1 und 2 gilt die Prüfung oder der betreffende Teil der Prüfung als nicht begonnen. Die Prüfungskommission bestimmt, zu welchen Zeitpunkten die betreffenden Prüfungsteile nachgeholt werden. Sie entscheidet, ob und wieweit die bereits abgelieferten Arbeiten als Prüfungsarbeiten gewertet werden.</w:t>
      </w:r>
    </w:p>
    <w:p>
      <w:r>
        <w:t xml:space="preserve">(4) Versäumen Anwärterinnen oder Anwärter die schriftliche oder die mündliche Prüfung ganz oder teilweise ohne ausreichende Entschuldigung, entscheidet die Prüfungskommission, ob die nicht erbrachte Prüfungsleistung nachgeholt werden kann, mit "ungenügend" (Rangpunkt 0) bewertet oder die gesamte Prüfung für nicht bestanden erklärt wird. Die Entscheidung ist mit einer Rechtsbehelfsbelehrung zu versehen.</w:t>
      </w:r>
    </w:p>
    <w:p>
      <w:r>
        <w:rPr>
          <w:color w:val="555555"/>
          <w:sz w:val="17"/>
        </w:rPr>
        <w:t xml:space="preserve">Zitiervorschlag: § 21 LAP-mDAAV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https://recht.nulegal.eu/gesetze/LAP-mDAAV%202004/21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