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LAP-mDAAV 2004 — Fremdsprachliche Ausbildung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Im Rahmen der fachtheoretischen Ausbildung erhalten die Anwärterinnen und Anwärter Unterricht in der englischen Sprache als Hauptsprache und in einer Nebensprache. Die Wahl der Nebensprache richtet sich nach vorhandenen Vorkenntnissen und den dienstlichen Erfordernissen.</w:t>
      </w:r>
    </w:p>
    <w:p>
      <w:r>
        <w:t xml:space="preserve">(2) Wer in einem Test Kenntnisse der englischen Sprache auf dem Niveau der Laufbahnprüfung nachweist, kann auf Antrag für den Unterricht in anderen Sprachen freigestellt werden.</w:t>
      </w:r>
    </w:p>
    <w:p>
      <w:r>
        <w:rPr>
          <w:color w:val="555555"/>
          <w:sz w:val="17"/>
        </w:rPr>
        <w:t xml:space="preserve">Zitiervorschlag: § 12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