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LAP-mDAAV 2004 — Fachtheoretische Ausbildung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Im Einführungslehrgang werden die Anwärterinnen und Anwärter in Schwerpunktbereiche der Laufbahnaufgaben eingeführt und mit dem Aufbau und den Aufgaben des Auswärtigen Amts und sonstiger Behörden vertraut gemacht.</w:t>
      </w:r>
    </w:p>
    <w:p>
      <w:r>
        <w:t xml:space="preserve">(2) Der Schlusslehrgang vermittelt, aufbauend auf den Ausbildungsinhalten des Einführungslehrgangs und den während der praktischen Ausbildung erworbenen Kenntnissen und Fähigkeiten, eine laufbahnbezogene Ausbildung.</w:t>
      </w:r>
    </w:p>
    <w:p>
      <w:r>
        <w:t xml:space="preserve">(3) Die Ausbildung soll die Fähigkeit zu bürgergerechtem Verhalten fördern.</w:t>
      </w:r>
    </w:p>
    <w:p>
      <w:r>
        <w:rPr>
          <w:color w:val="555555"/>
          <w:sz w:val="17"/>
        </w:rPr>
        <w:t xml:space="preserve">Zitiervorschlag: § 11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