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LAP-htVerwDV — Einstellungsvoraussetzungen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werden nur Bewerberinnen und Bewerber eingestellt, die gemäß § 5 Nummer 2 ein abgeschlossenes wissenschaftliches Studium des Maschinenbaus (Schwerpunkt Luft- und Raumfahrttechnik), der Luft- und Raumfahrttechnik (Schwerpunkt Luftfahrttechnik oder Flugführung), des Flugzeugbaus oder der Elektrotechnik mit einer Regelstudienzeit von mindestens acht Fachsemestern - ohne Praxis- und Prüfungssemester - an einer wissenschaftlichen Hochschule oder einen entsprechenden Master-Abschluss nachweisen.</w:t>
      </w:r>
    </w:p>
    <w:p>
      <w:r>
        <w:t xml:space="preserve">(2) Bewerberinnen und Bewerber müssen englische Sprachkenntnisse besitzen.</w:t>
      </w:r>
    </w:p>
    <w:p>
      <w:r>
        <w:rPr>
          <w:color w:val="555555"/>
          <w:sz w:val="17"/>
        </w:rPr>
        <w:t xml:space="preserve">Zitiervorschlag: § 52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