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LAP-htVerwDV — Fachgebiete, Einstellungsvoraussetzungen</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In der Fachrichtung Maschinen- und Elektrotechnik ist eine vertiefte Ausbildung in den Fachgebieten Maschinen- und Elektrotechnik der Wasserstraßen oder Maschinen- und Elektrotechnik in der Verwaltung möglich.</w:t>
      </w:r>
    </w:p>
    <w:p>
      <w:r>
        <w:t xml:space="preserve">(2) Es werden nur Bewerberinnen und Bewerber eingestellt, die gemäß § 5 Nummer 2 ein abgeschlossenes wissenschaftliches Studium des Maschinenbaues, der Elektrotechnik oder der Schiffstechnik oder von Fachrichtungen, deren Vordiplome auf der Basis vom Mathematik, Physik, Chemie, Mechanik oder Werkstofftechnik für die vorstehenden Fachrichtungen gegenseitig anzuerkennen sind, mit einer Regelstudienzeit von mindestens acht Fachsemestern - ohne Praxis- und Prüfungssemester - an einer wissenschaftlichen Hochschule oder einen entsprechenden Master-Abschluss nachweisen.</w:t>
      </w:r>
    </w:p>
    <w:p>
      <w:r>
        <w:rPr>
          <w:color w:val="555555"/>
          <w:sz w:val="17"/>
        </w:rPr>
        <w:t xml:space="preserve">Zitiervorschlag: § 48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