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LAP-htVerwDV — Prüfungsfächer, Prüfungszeiten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schriftliche und mündliche Prüfung sind folgende Prüfungsfächer vorgesehen; die Prüfungszeiten gelten für die mündliche Prüfung:</w:t>
      </w:r>
    </w:p>
    <w:p>
      <w:r>
        <w:rPr>
          <w:rFonts w:ascii="Courier New" w:hAnsi="Courier New"/>
          <w:sz w:val="17"/>
        </w:rPr>
        <w:t xml:space="preserve">    Stunden</w:t>
      </w:r>
    </w:p>
    <w:p>
      <w:r>
        <w:rPr>
          <w:rFonts w:ascii="Courier New" w:hAnsi="Courier New"/>
          <w:sz w:val="17"/>
        </w:rPr>
        <w:t xml:space="preserve">1.    Allgemeine Rechts- und Verwaltungsgrundlagen    1</w:t>
      </w:r>
    </w:p>
    <w:p>
      <w:r>
        <w:rPr>
          <w:rFonts w:ascii="Courier New" w:hAnsi="Courier New"/>
          <w:sz w:val="17"/>
        </w:rPr>
        <w:t xml:space="preserve">2.    Leitungsaufgaben und Wirtschaftlichkeit    1</w:t>
      </w:r>
    </w:p>
    <w:p>
      <w:r>
        <w:rPr>
          <w:rFonts w:ascii="Courier New" w:hAnsi="Courier New"/>
          <w:sz w:val="17"/>
        </w:rPr>
        <w:t xml:space="preserve">3.    Öffentliches Baurecht    1</w:t>
      </w:r>
    </w:p>
    <w:p>
      <w:r>
        <w:rPr>
          <w:rFonts w:ascii="Courier New" w:hAnsi="Courier New"/>
          <w:sz w:val="17"/>
        </w:rPr>
        <w:t xml:space="preserve">4.    Fachbezogene Verwaltung und Rechtsvorschriften    1</w:t>
      </w:r>
    </w:p>
    <w:p>
      <w:r>
        <w:rPr>
          <w:rFonts w:ascii="Courier New" w:hAnsi="Courier New"/>
          <w:sz w:val="17"/>
        </w:rPr>
        <w:t xml:space="preserve">5.    Grundzüge des öffentlichen Hochbaues und des Städtebaues    1 1/4</w:t>
      </w:r>
    </w:p>
    <w:p>
      <w:r>
        <w:rPr>
          <w:rFonts w:ascii="Courier New" w:hAnsi="Courier New"/>
          <w:sz w:val="17"/>
        </w:rPr>
        <w:t xml:space="preserve">6.    Bautechnik    1 1/4</w:t>
      </w:r>
    </w:p>
    <w:p>
      <w:r>
        <w:rPr>
          <w:rFonts w:ascii="Courier New" w:hAnsi="Courier New"/>
          <w:sz w:val="17"/>
        </w:rPr>
        <w:t xml:space="preserve">        -------</w:t>
      </w:r>
    </w:p>
    <w:p>
      <w:r>
        <w:rPr>
          <w:rFonts w:ascii="Courier New" w:hAnsi="Courier New"/>
          <w:sz w:val="17"/>
        </w:rPr>
        <w:t xml:space="preserve">    zusammen    6 1/2</w:t>
      </w:r>
    </w:p>
    <w:p>
      <w:r>
        <w:rPr>
          <w:color w:val="555555"/>
          <w:sz w:val="17"/>
        </w:rPr>
        <w:t xml:space="preserve">Zitiervorschlag: § 38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