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LAP-htVerwDV — Gliederung der Ausbildung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Vorbereitungsdienst gliedert sich wie folgt in eine praktische Ausbildung und Lehrgänge, die aufeinander abgestimmt werden:</w:t>
      </w:r>
    </w:p>
    <w:p>
      <w:r>
        <w:rPr>
          <w:rFonts w:ascii="Courier New" w:hAnsi="Courier New"/>
          <w:sz w:val="17"/>
        </w:rPr>
        <w:t xml:space="preserve">Ausbildungsabschnitt    Ausbildungsdauer (Wochen)    Ausbildungsstellen    Ausbildungsinhalte</w:t>
      </w:r>
    </w:p>
    <w:p>
      <w:r>
        <w:rPr>
          <w:rFonts w:ascii="Courier New" w:hAnsi="Courier New"/>
          <w:sz w:val="17"/>
        </w:rPr>
        <w:t xml:space="preserve">I    30    Staatliches oder kommunales Hochbauamt oder entsprechende öffentlichrechtliche Körperschaften    -Öffentlicher Hochbau-Praxisorientierte Mitarbeit an allen Aufgaben des Bauamtes, insbesondere Vorbereitung und Durchführung von Baumaßnahmen: Entwurfsplanung, Vorbereiten und Aufstellen von haushaltsbegründenden Unterlagen, Facility-Management, Projektmanagement (delegierbare und nichtdelegierbare Bauherrenleistungen), Kostenplanung und Kostensteuerung (Kosten-Leistungs-Rechnung, Mittelbewirtschaftung), Terminplanung/Terminsteuerung, Vertragswesen, Verdingungswesen, Bauüberwachung, Vertragsabwicklung und Abrechnung, Unfallverhütungsvorschriften-Einsatz und Anwendung der Informations- und Kommunikationstechnik im Bauwesen-Rechte und Pflichten der Dienststellenleiterin oder des Dienststellenleiters</w:t>
      </w:r>
    </w:p>
    <w:p>
      <w:r>
        <w:rPr>
          <w:rFonts w:ascii="Courier New" w:hAnsi="Courier New"/>
          <w:sz w:val="17"/>
        </w:rPr>
        <w:t xml:space="preserve">II    25    Staatliche oder kommunale Bauverwaltung    -BauordnungswesenBauvorschriften und bauaufsichtliche Verfahren: Bauantrag, Baugenehmigungs- und Sonderverfahren (vereinfachtes Freistellungs-, Anzeige-, Zustimmungsverfahren), Ausnahmen und Befreiung/ Abweichungen, Bauüberwachung, Abnahmen/ Bauzustandsbesichtigungen, Baunebenrecht/Fachplanungsrecht-Städtebau, Wohnungs- und SiedlungswesenEntwicklungsplanung, vorbereitende und verbindliche Bauleitplanung (Entwurf und Verfahren): Flächennutzungsplan (Standortplanung, Verkehrs- und Versorgungsplanung), Bebauungsplan, Sicherung der Bauleitplanung, Besonderes Städtebaurecht, Fachplanungsrecht, Bodenordnung, Wohnungs- und Siedlungswesen</w:t>
      </w:r>
    </w:p>
    <w:p>
      <w:r>
        <w:rPr>
          <w:rFonts w:ascii="Courier New" w:hAnsi="Courier New"/>
          <w:sz w:val="17"/>
        </w:rPr>
        <w:t xml:space="preserve">III    12    Mittlere oder oberste Behörde des Bundes oder Landes    -Aufgaben der Dienst- und Fachaufsicht- Sonderaufgaben -Obere Bauaufsichtsbehörde:Grundzüge des Staats-, Verwaltungs-, Planungs- und Baurechts, Gesetze, Verordnungen und Verwaltungsvorschriften, Organisations- und Personalangelegenheiten, Geschäftsführung in der Verwaltung, Eingaben/Petitionen, Haushaltswesen, Denkmalpflege, Landes- und Regionalplanung, Programmentwicklung, fachtechnische Prüfung von Entwürfen, Wettbewerbswesen, Widerspruchsverfahren, Zustimmung und Befreiung</w:t>
      </w:r>
    </w:p>
    <w:p>
      <w:r>
        <w:rPr>
          <w:rFonts w:ascii="Courier New" w:hAnsi="Courier New"/>
          <w:sz w:val="17"/>
        </w:rPr>
        <w:t xml:space="preserve">    6        Häusliche Prüfungsarbeit</w:t>
      </w:r>
    </w:p>
    <w:p>
      <w:r>
        <w:rPr>
          <w:rFonts w:ascii="Courier New" w:hAnsi="Courier New"/>
          <w:sz w:val="17"/>
        </w:rPr>
        <w:t xml:space="preserve">    19        Lehrgänge</w:t>
      </w:r>
    </w:p>
    <w:p>
      <w:r>
        <w:rPr>
          <w:rFonts w:ascii="Courier New" w:hAnsi="Courier New"/>
          <w:sz w:val="17"/>
        </w:rPr>
        <w:t xml:space="preserve">    ca. 12        Erholungsurlaub</w:t>
      </w:r>
    </w:p>
    <w:p>
      <w:r>
        <w:rPr>
          <w:rFonts w:ascii="Courier New" w:hAnsi="Courier New"/>
          <w:sz w:val="17"/>
        </w:rPr>
        <w:t xml:space="preserve">    104    24 Monate    </w:t>
      </w:r>
    </w:p>
    <w:p>
      <w:r>
        <w:rPr>
          <w:color w:val="555555"/>
          <w:sz w:val="17"/>
        </w:rPr>
        <w:t xml:space="preserve">Zitiervorschlag: § 37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